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6E4C" w14:textId="1C4AEA89" w:rsidR="00FB1577" w:rsidRDefault="0034195A" w:rsidP="00BB227F">
      <w:r>
        <w:rPr>
          <w:rFonts w:cstheme="minorHAnsi"/>
          <w:b/>
          <w:bCs/>
          <w:noProof/>
          <w:sz w:val="28"/>
          <w:szCs w:val="28"/>
        </w:rPr>
        <mc:AlternateContent>
          <mc:Choice Requires="wps">
            <w:drawing>
              <wp:anchor distT="0" distB="0" distL="114300" distR="114300" simplePos="0" relativeHeight="251661312" behindDoc="0" locked="0" layoutInCell="1" allowOverlap="1" wp14:anchorId="41F7B6CE" wp14:editId="79AE51F4">
                <wp:simplePos x="0" y="0"/>
                <wp:positionH relativeFrom="page">
                  <wp:posOffset>1790700</wp:posOffset>
                </wp:positionH>
                <wp:positionV relativeFrom="paragraph">
                  <wp:posOffset>6350</wp:posOffset>
                </wp:positionV>
                <wp:extent cx="5543550" cy="6159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5543550" cy="615950"/>
                        </a:xfrm>
                        <a:prstGeom prst="rect">
                          <a:avLst/>
                        </a:prstGeom>
                        <a:solidFill>
                          <a:srgbClr val="004B8D"/>
                        </a:solidFill>
                        <a:ln w="6350">
                          <a:solidFill>
                            <a:srgbClr val="004B8D"/>
                          </a:solidFill>
                        </a:ln>
                      </wps:spPr>
                      <wps:txbx>
                        <w:txbxContent>
                          <w:p w14:paraId="765DD587" w14:textId="77777777" w:rsidR="00FB1577" w:rsidRPr="00640271" w:rsidRDefault="00FB1577" w:rsidP="00FB1577">
                            <w:pPr>
                              <w:rPr>
                                <w:b/>
                                <w:bCs/>
                                <w:color w:val="FFFFFF" w:themeColor="background1"/>
                                <w:sz w:val="56"/>
                                <w:szCs w:val="56"/>
                                <w14:textOutline w14:w="9525" w14:cap="rnd" w14:cmpd="sng" w14:algn="ctr">
                                  <w14:solidFill>
                                    <w14:srgbClr w14:val="004B8D"/>
                                  </w14:solidFill>
                                  <w14:prstDash w14:val="solid"/>
                                  <w14:bevel/>
                                </w14:textOutline>
                              </w:rPr>
                            </w:pPr>
                            <w:r w:rsidRPr="002F42D6">
                              <w:rPr>
                                <w:b/>
                                <w:bCs/>
                                <w:color w:val="FFFFFF" w:themeColor="background1"/>
                                <w:sz w:val="52"/>
                                <w:szCs w:val="52"/>
                                <w14:textOutline w14:w="9525" w14:cap="rnd" w14:cmpd="sng" w14:algn="ctr">
                                  <w14:solidFill>
                                    <w14:srgbClr w14:val="004B8D"/>
                                  </w14:solidFill>
                                  <w14:prstDash w14:val="solid"/>
                                  <w14:bevel/>
                                </w14:textOutline>
                              </w:rPr>
                              <w:t>Post-school Outcomes Data Fact</w:t>
                            </w:r>
                            <w:r>
                              <w:rPr>
                                <w:b/>
                                <w:bCs/>
                                <w:color w:val="FFFFFF" w:themeColor="background1"/>
                                <w:sz w:val="56"/>
                                <w:szCs w:val="56"/>
                                <w14:textOutline w14:w="9525" w14:cap="rnd" w14:cmpd="sng" w14:algn="ctr">
                                  <w14:solidFill>
                                    <w14:srgbClr w14:val="004B8D"/>
                                  </w14:solidFill>
                                  <w14:prstDash w14:val="solid"/>
                                  <w14:bevel/>
                                </w14:textOutline>
                              </w:rPr>
                              <w:t xml:space="preserve"> </w:t>
                            </w:r>
                            <w:r w:rsidRPr="002F42D6">
                              <w:rPr>
                                <w:b/>
                                <w:bCs/>
                                <w:color w:val="FFFFFF" w:themeColor="background1"/>
                                <w:sz w:val="52"/>
                                <w:szCs w:val="52"/>
                                <w14:textOutline w14:w="9525" w14:cap="rnd" w14:cmpd="sng" w14:algn="ctr">
                                  <w14:solidFill>
                                    <w14:srgbClr w14:val="004B8D"/>
                                  </w14:solidFill>
                                  <w14:prstDash w14:val="solid"/>
                                  <w14:bevel/>
                                </w14:textOutline>
                              </w:rPr>
                              <w:t>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7B6CE" id="_x0000_t202" coordsize="21600,21600" o:spt="202" path="m,l,21600r21600,l21600,xe">
                <v:stroke joinstyle="miter"/>
                <v:path gradientshapeok="t" o:connecttype="rect"/>
              </v:shapetype>
              <v:shape id="Text Box 2" o:spid="_x0000_s1026" type="#_x0000_t202" style="position:absolute;margin-left:141pt;margin-top:.5pt;width:436.5pt;height:4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XJKwIAAH4EAAAOAAAAZHJzL2Uyb0RvYy54bWysVE1v2zAMvQ/YfxB0X5ykcdcacYo0QYYB&#10;QVsgHXpWZCk2IIuapMTOfv0o2flYt1Oxi0yK1CP5SHr60NaKHIR1FeicjgZDSoTmUFR6l9Mfr6sv&#10;d5Q4z3TBFGiR06Nw9GH2+dO0MZkYQwmqEJYgiHZZY3Jaem+yJHG8FDVzAzBCo1GCrZlH1e6SwrIG&#10;0WuVjIfD26QBWxgLXDiHt8vOSGcRX0rB/bOUTniicoq5+XjaeG7DmcymLNtZZsqK92mwD2RRs0pj&#10;0DPUknlG9rb6C6quuAUH0g841AlIWXERa8BqRsN31WxKZkSsBclx5kyT+3+w/OmwMS+W+PYRWmxg&#10;IKQxLnN4Gepppa3DFzMlaEcKj2faROsJx8s0ndykKZo42m5H6T3KCJNcXhvr/DcBNQlCTi22JbLF&#10;DmvnO9eTSwjmQFXFqlIqKna3XShLDiy0cDh5vFv26H+4KU0ajH6DsT8GgekqjVlfqg+Sb7dtT8kW&#10;iiMyZaEbImf4qsJy1sz5F2ZxapAB3AT/jIdUgNlAL1FSgv31r/vgj81EKyUNTmFO3c89s4IS9V1j&#10;m+9Hk0kY26hM0q9jVOy1ZXtt0ft6AcjSCHfO8CgGf69OorRQv+HCzENUNDHNMXZO/Ulc+G43cOG4&#10;mM+jEw6qYX6tN4YH6MBuaNZr+8as6TvqcRae4DSvLHvX2M43vNQw33uQVex6ILhjtecdhzzOTb+Q&#10;YYuu9eh1+W3MfgMAAP//AwBQSwMEFAAGAAgAAAAhAPiYrA3hAAAACQEAAA8AAABkcnMvZG93bnJl&#10;di54bWxMj0FPwkAQhe8m/IfNkHgxsqUJptRuCdFoMOECetDb0h3bSne26W6h9Nc7nPQ0M3kvb76X&#10;rQbbiBN2vnakYD6LQCAVztRUKvh4f7lPQPigyejGESq4oIdVPrnJdGrcmXZ42odScAj5VCuoQmhT&#10;KX1RodV+5lok1r5dZ3Xgsyul6fSZw20j4yh6kFbXxB8q3eJThcVx31sFz/0Q2+04ju3X2+tys/nZ&#10;3n1eCqVup8P6EUTAIfyZ4YrP6JAz08H1ZLxoFMRJzF0CCzyu+nyx4O2gYJlEIPNM/m+Q/wIAAP//&#10;AwBQSwECLQAUAAYACAAAACEAtoM4kv4AAADhAQAAEwAAAAAAAAAAAAAAAAAAAAAAW0NvbnRlbnRf&#10;VHlwZXNdLnhtbFBLAQItABQABgAIAAAAIQA4/SH/1gAAAJQBAAALAAAAAAAAAAAAAAAAAC8BAABf&#10;cmVscy8ucmVsc1BLAQItABQABgAIAAAAIQC4QzXJKwIAAH4EAAAOAAAAAAAAAAAAAAAAAC4CAABk&#10;cnMvZTJvRG9jLnhtbFBLAQItABQABgAIAAAAIQD4mKwN4QAAAAkBAAAPAAAAAAAAAAAAAAAAAIUE&#10;AABkcnMvZG93bnJldi54bWxQSwUGAAAAAAQABADzAAAAkwUAAAAA&#10;" fillcolor="#004b8d" strokecolor="#004b8d" strokeweight=".5pt">
                <v:textbox>
                  <w:txbxContent>
                    <w:p w14:paraId="765DD587" w14:textId="77777777" w:rsidR="00FB1577" w:rsidRPr="00640271" w:rsidRDefault="00FB1577" w:rsidP="00FB1577">
                      <w:pPr>
                        <w:rPr>
                          <w:b/>
                          <w:bCs/>
                          <w:color w:val="FFFFFF" w:themeColor="background1"/>
                          <w:sz w:val="56"/>
                          <w:szCs w:val="56"/>
                          <w14:textOutline w14:w="9525" w14:cap="rnd" w14:cmpd="sng" w14:algn="ctr">
                            <w14:solidFill>
                              <w14:srgbClr w14:val="004B8D"/>
                            </w14:solidFill>
                            <w14:prstDash w14:val="solid"/>
                            <w14:bevel/>
                          </w14:textOutline>
                        </w:rPr>
                      </w:pPr>
                      <w:r w:rsidRPr="002F42D6">
                        <w:rPr>
                          <w:b/>
                          <w:bCs/>
                          <w:color w:val="FFFFFF" w:themeColor="background1"/>
                          <w:sz w:val="52"/>
                          <w:szCs w:val="52"/>
                          <w14:textOutline w14:w="9525" w14:cap="rnd" w14:cmpd="sng" w14:algn="ctr">
                            <w14:solidFill>
                              <w14:srgbClr w14:val="004B8D"/>
                            </w14:solidFill>
                            <w14:prstDash w14:val="solid"/>
                            <w14:bevel/>
                          </w14:textOutline>
                        </w:rPr>
                        <w:t>Post-school Outcomes Data Fact</w:t>
                      </w:r>
                      <w:r>
                        <w:rPr>
                          <w:b/>
                          <w:bCs/>
                          <w:color w:val="FFFFFF" w:themeColor="background1"/>
                          <w:sz w:val="56"/>
                          <w:szCs w:val="56"/>
                          <w14:textOutline w14:w="9525" w14:cap="rnd" w14:cmpd="sng" w14:algn="ctr">
                            <w14:solidFill>
                              <w14:srgbClr w14:val="004B8D"/>
                            </w14:solidFill>
                            <w14:prstDash w14:val="solid"/>
                            <w14:bevel/>
                          </w14:textOutline>
                        </w:rPr>
                        <w:t xml:space="preserve"> </w:t>
                      </w:r>
                      <w:r w:rsidRPr="002F42D6">
                        <w:rPr>
                          <w:b/>
                          <w:bCs/>
                          <w:color w:val="FFFFFF" w:themeColor="background1"/>
                          <w:sz w:val="52"/>
                          <w:szCs w:val="52"/>
                          <w14:textOutline w14:w="9525" w14:cap="rnd" w14:cmpd="sng" w14:algn="ctr">
                            <w14:solidFill>
                              <w14:srgbClr w14:val="004B8D"/>
                            </w14:solidFill>
                            <w14:prstDash w14:val="solid"/>
                            <w14:bevel/>
                          </w14:textOutline>
                        </w:rPr>
                        <w:t>Sheet</w:t>
                      </w:r>
                    </w:p>
                  </w:txbxContent>
                </v:textbox>
                <w10:wrap anchorx="page"/>
              </v:shape>
            </w:pict>
          </mc:Fallback>
        </mc:AlternateContent>
      </w:r>
      <w:r w:rsidR="00FB1577">
        <w:rPr>
          <w:noProof/>
        </w:rPr>
        <w:drawing>
          <wp:anchor distT="0" distB="0" distL="114300" distR="114300" simplePos="0" relativeHeight="251663360" behindDoc="1" locked="0" layoutInCell="1" allowOverlap="1" wp14:anchorId="472C4605" wp14:editId="01143A67">
            <wp:simplePos x="0" y="0"/>
            <wp:positionH relativeFrom="column">
              <wp:posOffset>-406400</wp:posOffset>
            </wp:positionH>
            <wp:positionV relativeFrom="paragraph">
              <wp:posOffset>0</wp:posOffset>
            </wp:positionV>
            <wp:extent cx="1479550" cy="609600"/>
            <wp:effectExtent l="0" t="0" r="6350" b="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9550" cy="609600"/>
                    </a:xfrm>
                    <a:prstGeom prst="rect">
                      <a:avLst/>
                    </a:prstGeom>
                  </pic:spPr>
                </pic:pic>
              </a:graphicData>
            </a:graphic>
            <wp14:sizeRelH relativeFrom="page">
              <wp14:pctWidth>0</wp14:pctWidth>
            </wp14:sizeRelH>
            <wp14:sizeRelV relativeFrom="page">
              <wp14:pctHeight>0</wp14:pctHeight>
            </wp14:sizeRelV>
          </wp:anchor>
        </w:drawing>
      </w:r>
    </w:p>
    <w:p w14:paraId="62EEF2D3" w14:textId="5439CF12" w:rsidR="00FB1577" w:rsidRDefault="00FB1577" w:rsidP="00BB227F"/>
    <w:p w14:paraId="022DE8FC" w14:textId="14E747D8" w:rsidR="00A53BFB" w:rsidRDefault="00A53BFB" w:rsidP="00BB227F"/>
    <w:p w14:paraId="3F1FAEFD" w14:textId="717C2272" w:rsidR="001568BF" w:rsidRPr="00FB1577" w:rsidRDefault="00BB227F" w:rsidP="00FB1577">
      <w:pPr>
        <w:pStyle w:val="NoSpacing"/>
        <w:jc w:val="center"/>
        <w:rPr>
          <w:b/>
          <w:bCs/>
          <w:sz w:val="28"/>
          <w:szCs w:val="28"/>
        </w:rPr>
      </w:pPr>
      <w:r w:rsidRPr="00FB1577">
        <w:rPr>
          <w:b/>
          <w:bCs/>
          <w:sz w:val="28"/>
          <w:szCs w:val="28"/>
        </w:rPr>
        <w:t>Individuals with Disabilities Education Act (IDEA)</w:t>
      </w:r>
    </w:p>
    <w:p w14:paraId="69CEF7A0" w14:textId="52C733EB" w:rsidR="00BB227F" w:rsidRDefault="00BB227F" w:rsidP="00FB1577">
      <w:pPr>
        <w:pStyle w:val="NoSpacing"/>
        <w:jc w:val="center"/>
        <w:rPr>
          <w:b/>
          <w:bCs/>
          <w:sz w:val="28"/>
          <w:szCs w:val="28"/>
        </w:rPr>
      </w:pPr>
      <w:r w:rsidRPr="00FB1577">
        <w:rPr>
          <w:b/>
          <w:bCs/>
          <w:sz w:val="28"/>
          <w:szCs w:val="28"/>
        </w:rPr>
        <w:t>Part B Indicator 14: Post-School Outcomes</w:t>
      </w:r>
    </w:p>
    <w:p w14:paraId="744EA6D0" w14:textId="77777777" w:rsidR="00FB1577" w:rsidRPr="00FB1577" w:rsidRDefault="00FB1577" w:rsidP="00FB1577">
      <w:pPr>
        <w:pStyle w:val="NoSpacing"/>
        <w:jc w:val="center"/>
        <w:rPr>
          <w:b/>
          <w:bCs/>
          <w:sz w:val="28"/>
          <w:szCs w:val="28"/>
        </w:rPr>
      </w:pPr>
    </w:p>
    <w:p w14:paraId="43FEB4BA" w14:textId="2D23E4C7" w:rsidR="00BB227F" w:rsidRDefault="00BB227F" w:rsidP="00BB227F">
      <w:r>
        <w:t xml:space="preserve">Percent of youth who are no longer in </w:t>
      </w:r>
      <w:r w:rsidR="00A53BFB">
        <w:t>secondary</w:t>
      </w:r>
      <w:r>
        <w:t xml:space="preserve"> school</w:t>
      </w:r>
      <w:r w:rsidR="00A53BFB">
        <w:t xml:space="preserve"> (high school)</w:t>
      </w:r>
      <w:r>
        <w:t>, had IEPs in effect at the time they left school, and were: (A) Enrolled in higher education; (B) Enrolled in higher education or competitively employed; (C) Enrolled in higher education, other postsecondary education, or training program or competitively employed or in some other employment, within one year of leaving high school.</w:t>
      </w:r>
    </w:p>
    <w:p w14:paraId="1D682A39" w14:textId="19B806E1" w:rsidR="00BB227F" w:rsidRDefault="00BB227F" w:rsidP="00BB227F">
      <w:r w:rsidRPr="00A53BFB">
        <w:rPr>
          <w:b/>
          <w:bCs/>
          <w:u w:val="single"/>
        </w:rPr>
        <w:t>Federal Calculation</w:t>
      </w:r>
      <w:r w:rsidR="001568BF">
        <w:rPr>
          <w:b/>
          <w:bCs/>
          <w:u w:val="single"/>
        </w:rPr>
        <w:t>s</w:t>
      </w:r>
      <w:r>
        <w:t>:</w:t>
      </w:r>
    </w:p>
    <w:p w14:paraId="4028A0B4" w14:textId="2E2A5B08" w:rsidR="00BB227F" w:rsidRDefault="00BB227F" w:rsidP="00BB227F">
      <w:r w:rsidRPr="00A53BFB">
        <w:rPr>
          <w:b/>
          <w:bCs/>
        </w:rPr>
        <w:t>Indicator 14A</w:t>
      </w:r>
      <w:r>
        <w:t xml:space="preserve">: Enrolled in higher education within one year of leaving high </w:t>
      </w:r>
      <w:r w:rsidR="00E7167D">
        <w:t>school.</w:t>
      </w:r>
    </w:p>
    <w:p w14:paraId="71A9E49E" w14:textId="77777777" w:rsidR="00BB227F" w:rsidRDefault="00BB227F" w:rsidP="00801EF3">
      <w:pPr>
        <w:ind w:firstLine="720"/>
      </w:pPr>
      <w:r>
        <w:t>Number of youth who are no longer in secondary school, had IEPs in effect at the time they left school and were enrolled in higher education within one year of leaving high school divided by the number of respondent youth who are no longer in secondary school and had IEPs in effect at the time they left school.</w:t>
      </w:r>
    </w:p>
    <w:p w14:paraId="1DB46954" w14:textId="7BAAC384" w:rsidR="00BB227F" w:rsidRDefault="00BB227F" w:rsidP="00BB227F">
      <w:r w:rsidRPr="00A53BFB">
        <w:rPr>
          <w:b/>
          <w:bCs/>
        </w:rPr>
        <w:t>Indicator 14B</w:t>
      </w:r>
      <w:r>
        <w:t>: Enrolled in higher education or competitively employed within one year of leaving high school</w:t>
      </w:r>
      <w:r w:rsidR="00FB1577">
        <w:t>.</w:t>
      </w:r>
    </w:p>
    <w:p w14:paraId="2D396C98" w14:textId="77777777" w:rsidR="00BB227F" w:rsidRDefault="00BB227F" w:rsidP="00801EF3">
      <w:pPr>
        <w:ind w:firstLine="720"/>
      </w:pPr>
      <w:r>
        <w:t>Number of youth who are no longer in secondary school, had IEPs in effect at the time they left school and were enrolled in higher education or competitively employed within one year of leaving high school divided by the number of respondent youth who are no longer in secondary school and had IEPs in effect at the time they left school.</w:t>
      </w:r>
    </w:p>
    <w:p w14:paraId="0F07DC16" w14:textId="611B89CD" w:rsidR="00BB227F" w:rsidRDefault="00BB227F" w:rsidP="00BB227F">
      <w:r w:rsidRPr="00A53BFB">
        <w:rPr>
          <w:b/>
          <w:bCs/>
        </w:rPr>
        <w:t>Indicator 14C</w:t>
      </w:r>
      <w:r>
        <w:t>: Enrolled in higher education or in some other postsecondary education or training program; or competitively employed or in some other employment within one year of leaving high school</w:t>
      </w:r>
      <w:r w:rsidR="00FB1577">
        <w:t>.</w:t>
      </w:r>
    </w:p>
    <w:p w14:paraId="3B92FBCE" w14:textId="77777777" w:rsidR="00BB227F" w:rsidRDefault="00BB227F" w:rsidP="00801EF3">
      <w:pPr>
        <w:ind w:firstLine="720"/>
      </w:pPr>
      <w:r>
        <w:t>Number of youth who are no longer in secondary school, had IEPs in effect at the time they left school and were enrolled in higher education, or in some other postsecondary education or training program; or competitively employed or in some other employment divided by the number of respondent youth who are no longer in secondary school and had IEPs in effect at the time they left school.</w:t>
      </w:r>
    </w:p>
    <w:p w14:paraId="10D2D013" w14:textId="701D0CF5" w:rsidR="00BB227F" w:rsidRDefault="00BB227F" w:rsidP="00BB227F">
      <w:r w:rsidRPr="00801EF3">
        <w:rPr>
          <w:b/>
          <w:bCs/>
        </w:rPr>
        <w:t>Enrolled in higher education</w:t>
      </w:r>
      <w:r w:rsidR="001568BF">
        <w:t>,</w:t>
      </w:r>
      <w:r>
        <w:t xml:space="preserve"> as used in measures A, B</w:t>
      </w:r>
      <w:r w:rsidR="001568BF">
        <w:t>,</w:t>
      </w:r>
      <w:r>
        <w:t xml:space="preserve"> and C</w:t>
      </w:r>
      <w:r w:rsidR="001568BF">
        <w:t>,</w:t>
      </w:r>
      <w:r>
        <w:t xml:space="preserve"> means youth have been enrolled on a full-time or part-time basis in a community college (two-year program) or college/university (four or more year program) for at least one complete term, at any time in the year since leaving high school</w:t>
      </w:r>
    </w:p>
    <w:p w14:paraId="02853243" w14:textId="33AE96A4" w:rsidR="00BB227F" w:rsidRDefault="00BB227F" w:rsidP="00BB227F">
      <w:r w:rsidRPr="00801EF3">
        <w:rPr>
          <w:b/>
          <w:bCs/>
        </w:rPr>
        <w:t>Competitive employment</w:t>
      </w:r>
      <w:r w:rsidR="001568BF">
        <w:t>,</w:t>
      </w:r>
      <w:r>
        <w:t xml:space="preserve"> as used in measures B and C</w:t>
      </w:r>
      <w:r w:rsidR="001568BF">
        <w:t>,</w:t>
      </w:r>
      <w:r>
        <w:t xml:space="preserve"> means that youth have worked for pay at or above the minimum wage in a setting with others who are nondisabled for </w:t>
      </w:r>
      <w:r w:rsidR="001568BF">
        <w:t xml:space="preserve">at least </w:t>
      </w:r>
      <w:r>
        <w:t>20 hours a week for at least 90 days at any time in the year since leaving high school. This includes military employment.</w:t>
      </w:r>
    </w:p>
    <w:p w14:paraId="4AE5E126" w14:textId="4BD5EF8A" w:rsidR="00BB227F" w:rsidRDefault="00BB227F" w:rsidP="00BB227F">
      <w:r w:rsidRPr="00801EF3">
        <w:rPr>
          <w:b/>
          <w:bCs/>
        </w:rPr>
        <w:t>Enrolled in other postsecondary education or training</w:t>
      </w:r>
      <w:r w:rsidR="001568BF">
        <w:t>,</w:t>
      </w:r>
      <w:r>
        <w:t xml:space="preserve"> as used in measure C, means youth have been enrolled on a full- or part-time basis for at least one complete term at any time in the year since leaving high school in an education or training program.</w:t>
      </w:r>
    </w:p>
    <w:p w14:paraId="6FFB3A1B" w14:textId="2B2DDE5B" w:rsidR="00BB227F" w:rsidRDefault="00BB227F" w:rsidP="00BB227F">
      <w:r w:rsidRPr="00801EF3">
        <w:rPr>
          <w:b/>
          <w:bCs/>
        </w:rPr>
        <w:t>Some other employment</w:t>
      </w:r>
      <w:r w:rsidR="001568BF">
        <w:t>,</w:t>
      </w:r>
      <w:r>
        <w:t xml:space="preserve"> as used in measure C</w:t>
      </w:r>
      <w:r w:rsidR="001568BF">
        <w:t>,</w:t>
      </w:r>
      <w:r>
        <w:t xml:space="preserve"> means youth have worked</w:t>
      </w:r>
      <w:r w:rsidR="001568BF">
        <w:t xml:space="preserve"> in non-competitive employment</w:t>
      </w:r>
      <w:r>
        <w:t xml:space="preserve"> for </w:t>
      </w:r>
      <w:r w:rsidR="001568BF">
        <w:t xml:space="preserve">at least 20 hours a week for </w:t>
      </w:r>
      <w:r>
        <w:t>at least 90 days at any time in the year since leaving high school.</w:t>
      </w:r>
    </w:p>
    <w:p w14:paraId="016FE246" w14:textId="77777777" w:rsidR="002F42D6" w:rsidRDefault="002F42D6" w:rsidP="00BB227F">
      <w:pPr>
        <w:rPr>
          <w:b/>
          <w:bCs/>
          <w:u w:val="single"/>
        </w:rPr>
      </w:pPr>
    </w:p>
    <w:p w14:paraId="3AA56C85" w14:textId="77777777" w:rsidR="002F42D6" w:rsidRDefault="002F42D6" w:rsidP="00BB227F">
      <w:pPr>
        <w:rPr>
          <w:b/>
          <w:bCs/>
          <w:u w:val="single"/>
        </w:rPr>
      </w:pPr>
    </w:p>
    <w:p w14:paraId="10A5EE1C" w14:textId="77777777" w:rsidR="002F42D6" w:rsidRDefault="002F42D6" w:rsidP="00BB227F">
      <w:pPr>
        <w:rPr>
          <w:b/>
          <w:bCs/>
          <w:u w:val="single"/>
        </w:rPr>
      </w:pPr>
    </w:p>
    <w:p w14:paraId="13A5A60B" w14:textId="7740EBE0" w:rsidR="00BB227F" w:rsidRDefault="00000D4E" w:rsidP="00BB227F">
      <w:r w:rsidRPr="003B5A42">
        <w:rPr>
          <w:b/>
          <w:bCs/>
          <w:u w:val="single"/>
        </w:rPr>
        <w:t>The Missouri Process</w:t>
      </w:r>
      <w:r w:rsidR="00BB227F">
        <w:t>:</w:t>
      </w:r>
    </w:p>
    <w:p w14:paraId="0D7743D4" w14:textId="77777777" w:rsidR="00D1636B" w:rsidRDefault="00D1636B" w:rsidP="00BB227F">
      <w:r w:rsidRPr="00D1636B">
        <w:rPr>
          <w:b/>
          <w:bCs/>
        </w:rPr>
        <w:t>The LEA is responsible for</w:t>
      </w:r>
      <w:r>
        <w:t xml:space="preserve"> contacting all graduates and students with disabilities who dropped out for follow-up information. Follow-up status is reported for all graduates using the categories and codes in the Glossary and Coding Reference table below. Students with disabilities who graduated or dropped out require additional information about several of the follow-up categories.</w:t>
      </w:r>
    </w:p>
    <w:p w14:paraId="54DFB542" w14:textId="77183D78" w:rsidR="00BB227F" w:rsidRDefault="00D1636B" w:rsidP="00BB227F">
      <w:r>
        <w:t>LEAs submit these data to DESE</w:t>
      </w:r>
      <w:r w:rsidR="00000D4E">
        <w:t xml:space="preserve"> </w:t>
      </w:r>
      <w:r>
        <w:t>in the</w:t>
      </w:r>
      <w:r w:rsidR="00000D4E">
        <w:t xml:space="preserve"> MOSIS (Missouri Student Information System) February Cycle</w:t>
      </w:r>
      <w:r w:rsidR="00BB227F">
        <w:t>.</w:t>
      </w:r>
    </w:p>
    <w:p w14:paraId="4E544281" w14:textId="1058C8E3" w:rsidR="00BB227F" w:rsidRDefault="00334B46" w:rsidP="00334B46">
      <w:r>
        <w:t xml:space="preserve">The data are used for state reporting in the Special Education State Performance Plan/Annual Performance Report. The data are also publicly </w:t>
      </w:r>
      <w:r w:rsidR="00D1636B">
        <w:t>r</w:t>
      </w:r>
      <w:r w:rsidR="00BB227F">
        <w:t>eport</w:t>
      </w:r>
      <w:r>
        <w:t xml:space="preserve">ed at the state and LEA levels. </w:t>
      </w:r>
    </w:p>
    <w:p w14:paraId="667E4D6D" w14:textId="43E545C7" w:rsidR="001677AC" w:rsidRDefault="001677AC" w:rsidP="00BB227F">
      <w:pPr>
        <w:rPr>
          <w:u w:val="single"/>
        </w:rPr>
      </w:pPr>
      <w:r w:rsidRPr="00E7167D">
        <w:rPr>
          <w:b/>
          <w:bCs/>
          <w:u w:val="single"/>
        </w:rPr>
        <w:t>What your LEA can do with the information</w:t>
      </w:r>
      <w:r w:rsidRPr="001677AC">
        <w:rPr>
          <w:u w:val="single"/>
        </w:rPr>
        <w:t>:</w:t>
      </w:r>
    </w:p>
    <w:p w14:paraId="5B59A6AE" w14:textId="1F2A63AC" w:rsidR="001677AC" w:rsidRDefault="00334B46" w:rsidP="00E7167D">
      <w:pPr>
        <w:pStyle w:val="ListParagraph"/>
        <w:numPr>
          <w:ilvl w:val="0"/>
          <w:numId w:val="3"/>
        </w:numPr>
      </w:pPr>
      <w:r>
        <w:t>Determine if postsecondary transition planning is aligned with student outcomes.</w:t>
      </w:r>
    </w:p>
    <w:p w14:paraId="2B5ED6CD" w14:textId="383E81D2" w:rsidR="001677AC" w:rsidRDefault="001677AC" w:rsidP="00E7167D">
      <w:pPr>
        <w:pStyle w:val="ListParagraph"/>
        <w:numPr>
          <w:ilvl w:val="0"/>
          <w:numId w:val="3"/>
        </w:numPr>
      </w:pPr>
      <w:r>
        <w:t>Share results with stakeholders including teachers and administrators.</w:t>
      </w:r>
    </w:p>
    <w:p w14:paraId="00E7D779" w14:textId="64E5CAE8" w:rsidR="00E7167D" w:rsidRDefault="00E7167D" w:rsidP="00E7167D">
      <w:pPr>
        <w:pStyle w:val="ListParagraph"/>
        <w:numPr>
          <w:ilvl w:val="0"/>
          <w:numId w:val="3"/>
        </w:numPr>
      </w:pPr>
      <w:r>
        <w:t>Review processes for gathering the information.</w:t>
      </w:r>
    </w:p>
    <w:p w14:paraId="25D1C3B9" w14:textId="3615C5AB" w:rsidR="00E7167D" w:rsidRDefault="00E7167D" w:rsidP="00E7167D">
      <w:pPr>
        <w:pStyle w:val="ListParagraph"/>
        <w:numPr>
          <w:ilvl w:val="0"/>
          <w:numId w:val="3"/>
        </w:numPr>
      </w:pPr>
      <w:r>
        <w:t xml:space="preserve">Review policies and procedures to find areas of improvement in transition planning. </w:t>
      </w:r>
    </w:p>
    <w:p w14:paraId="003EA023" w14:textId="708F2A9F" w:rsidR="00E7167D" w:rsidRPr="00FB1577" w:rsidRDefault="00E7167D" w:rsidP="00BB227F">
      <w:pPr>
        <w:pStyle w:val="ListParagraph"/>
        <w:numPr>
          <w:ilvl w:val="0"/>
          <w:numId w:val="3"/>
        </w:numPr>
        <w:rPr>
          <w:b/>
          <w:bCs/>
          <w:u w:val="single"/>
        </w:rPr>
      </w:pPr>
      <w:r>
        <w:t>Provide additional training to staff in transition planning, information gathering, and interpretation.</w:t>
      </w:r>
    </w:p>
    <w:p w14:paraId="079245EF" w14:textId="77777777" w:rsidR="00FB1577" w:rsidRDefault="00FB1577" w:rsidP="00E7167D">
      <w:pPr>
        <w:jc w:val="center"/>
        <w:rPr>
          <w:b/>
          <w:bCs/>
          <w:sz w:val="40"/>
          <w:szCs w:val="40"/>
          <w:u w:val="single"/>
        </w:rPr>
      </w:pPr>
    </w:p>
    <w:p w14:paraId="11882688" w14:textId="11918BB6" w:rsidR="00BB227F" w:rsidRPr="00E7167D" w:rsidRDefault="00BB227F" w:rsidP="00E7167D">
      <w:pPr>
        <w:jc w:val="center"/>
        <w:rPr>
          <w:sz w:val="40"/>
          <w:szCs w:val="40"/>
        </w:rPr>
      </w:pPr>
      <w:r w:rsidRPr="00E7167D">
        <w:rPr>
          <w:b/>
          <w:bCs/>
          <w:sz w:val="40"/>
          <w:szCs w:val="40"/>
          <w:u w:val="single"/>
        </w:rPr>
        <w:t>Reference</w:t>
      </w:r>
      <w:r w:rsidR="00E7167D" w:rsidRPr="00E7167D">
        <w:rPr>
          <w:b/>
          <w:bCs/>
          <w:sz w:val="40"/>
          <w:szCs w:val="40"/>
          <w:u w:val="single"/>
        </w:rPr>
        <w:t xml:space="preserve"> and Resource</w:t>
      </w:r>
      <w:r w:rsidRPr="00E7167D">
        <w:rPr>
          <w:b/>
          <w:bCs/>
          <w:sz w:val="40"/>
          <w:szCs w:val="40"/>
          <w:u w:val="single"/>
        </w:rPr>
        <w:t xml:space="preserve"> Links</w:t>
      </w:r>
      <w:r w:rsidRPr="00E7167D">
        <w:rPr>
          <w:sz w:val="40"/>
          <w:szCs w:val="40"/>
        </w:rPr>
        <w:t>:</w:t>
      </w:r>
    </w:p>
    <w:p w14:paraId="698DC8F8" w14:textId="5358D504" w:rsidR="00E7167D" w:rsidRPr="00E7167D" w:rsidRDefault="00E7167D" w:rsidP="00E7167D">
      <w:pPr>
        <w:rPr>
          <w:b/>
          <w:bCs/>
          <w:u w:val="single"/>
        </w:rPr>
      </w:pPr>
      <w:r w:rsidRPr="00E7167D">
        <w:rPr>
          <w:b/>
          <w:bCs/>
          <w:u w:val="single"/>
        </w:rPr>
        <w:t>Reference Links</w:t>
      </w:r>
      <w:r>
        <w:rPr>
          <w:b/>
          <w:bCs/>
          <w:u w:val="single"/>
        </w:rPr>
        <w:t>:</w:t>
      </w:r>
    </w:p>
    <w:p w14:paraId="33D032A9" w14:textId="30E8AEFC" w:rsidR="00BB227F" w:rsidRPr="00E7167D" w:rsidRDefault="00BB227F" w:rsidP="00BB227F">
      <w:pPr>
        <w:pStyle w:val="Default"/>
        <w:spacing w:after="44"/>
        <w:rPr>
          <w:rFonts w:asciiTheme="majorHAnsi" w:hAnsiTheme="majorHAnsi" w:cstheme="majorHAnsi"/>
          <w:sz w:val="22"/>
          <w:szCs w:val="22"/>
        </w:rPr>
      </w:pPr>
      <w:r>
        <w:rPr>
          <w:sz w:val="23"/>
          <w:szCs w:val="23"/>
        </w:rPr>
        <w:t xml:space="preserve">• </w:t>
      </w:r>
      <w:hyperlink r:id="rId8" w:history="1">
        <w:r w:rsidRPr="00E7167D">
          <w:rPr>
            <w:rStyle w:val="Hyperlink"/>
            <w:rFonts w:asciiTheme="majorHAnsi" w:hAnsiTheme="majorHAnsi" w:cstheme="majorHAnsi"/>
            <w:sz w:val="22"/>
            <w:szCs w:val="22"/>
          </w:rPr>
          <w:t>Code of Federal Regulations 34 CFR 300</w:t>
        </w:r>
      </w:hyperlink>
      <w:r w:rsidRPr="00E7167D">
        <w:rPr>
          <w:rFonts w:asciiTheme="majorHAnsi" w:hAnsiTheme="majorHAnsi" w:cstheme="majorHAnsi"/>
          <w:sz w:val="22"/>
          <w:szCs w:val="22"/>
        </w:rPr>
        <w:t xml:space="preserve"> </w:t>
      </w:r>
    </w:p>
    <w:p w14:paraId="55343E35" w14:textId="7684774A" w:rsidR="00BB227F" w:rsidRPr="00E7167D" w:rsidRDefault="00BB227F" w:rsidP="00BB227F">
      <w:pPr>
        <w:pStyle w:val="Default"/>
        <w:spacing w:after="44"/>
        <w:rPr>
          <w:rFonts w:asciiTheme="majorHAnsi" w:hAnsiTheme="majorHAnsi" w:cstheme="majorHAnsi"/>
          <w:color w:val="0462C1"/>
          <w:sz w:val="22"/>
          <w:szCs w:val="22"/>
        </w:rPr>
      </w:pPr>
      <w:r w:rsidRPr="00E7167D">
        <w:rPr>
          <w:rFonts w:asciiTheme="majorHAnsi" w:hAnsiTheme="majorHAnsi" w:cstheme="majorHAnsi"/>
          <w:sz w:val="22"/>
          <w:szCs w:val="22"/>
        </w:rPr>
        <w:t xml:space="preserve">• </w:t>
      </w:r>
      <w:hyperlink r:id="rId9" w:history="1">
        <w:r w:rsidRPr="00E7167D">
          <w:rPr>
            <w:rStyle w:val="Hyperlink"/>
            <w:rFonts w:asciiTheme="majorHAnsi" w:hAnsiTheme="majorHAnsi" w:cstheme="majorHAnsi"/>
            <w:sz w:val="22"/>
            <w:szCs w:val="22"/>
          </w:rPr>
          <w:t>IDEA Part B State Performance Plan (SPP) and Annual Performance Report (APR) Indicator Measurement Table</w:t>
        </w:r>
      </w:hyperlink>
      <w:r w:rsidRPr="00E7167D">
        <w:rPr>
          <w:rFonts w:asciiTheme="majorHAnsi" w:hAnsiTheme="majorHAnsi" w:cstheme="majorHAnsi"/>
          <w:color w:val="0462C1"/>
          <w:sz w:val="22"/>
          <w:szCs w:val="22"/>
        </w:rPr>
        <w:t xml:space="preserve"> </w:t>
      </w:r>
    </w:p>
    <w:p w14:paraId="5C2EB6BD" w14:textId="77777777" w:rsidR="00234EDF" w:rsidRDefault="00BB227F" w:rsidP="00234EDF">
      <w:pPr>
        <w:pStyle w:val="Default"/>
        <w:spacing w:after="44"/>
        <w:rPr>
          <w:rFonts w:asciiTheme="majorHAnsi" w:hAnsiTheme="majorHAnsi" w:cstheme="majorHAnsi"/>
          <w:sz w:val="22"/>
          <w:szCs w:val="22"/>
        </w:rPr>
      </w:pPr>
      <w:r w:rsidRPr="00E7167D">
        <w:rPr>
          <w:rFonts w:asciiTheme="majorHAnsi" w:hAnsiTheme="majorHAnsi" w:cstheme="majorHAnsi"/>
          <w:sz w:val="22"/>
          <w:szCs w:val="22"/>
        </w:rPr>
        <w:t xml:space="preserve">• </w:t>
      </w:r>
      <w:hyperlink r:id="rId10" w:history="1">
        <w:r w:rsidRPr="00E7167D">
          <w:rPr>
            <w:rStyle w:val="Hyperlink"/>
            <w:rFonts w:asciiTheme="majorHAnsi" w:hAnsiTheme="majorHAnsi" w:cstheme="majorHAnsi"/>
            <w:sz w:val="22"/>
            <w:szCs w:val="22"/>
          </w:rPr>
          <w:t>Special Education State Profile Report: Public</w:t>
        </w:r>
      </w:hyperlink>
      <w:r w:rsidRPr="00E7167D">
        <w:rPr>
          <w:rFonts w:asciiTheme="majorHAnsi" w:hAnsiTheme="majorHAnsi" w:cstheme="majorHAnsi"/>
          <w:sz w:val="22"/>
          <w:szCs w:val="22"/>
        </w:rPr>
        <w:t xml:space="preserve"> </w:t>
      </w:r>
    </w:p>
    <w:p w14:paraId="284F5A84" w14:textId="77777777" w:rsidR="00E7167D" w:rsidRDefault="00E7167D" w:rsidP="00BB227F">
      <w:pPr>
        <w:pStyle w:val="Default"/>
        <w:spacing w:after="44"/>
        <w:rPr>
          <w:rFonts w:asciiTheme="majorHAnsi" w:hAnsiTheme="majorHAnsi" w:cstheme="majorHAnsi"/>
          <w:sz w:val="22"/>
          <w:szCs w:val="22"/>
        </w:rPr>
      </w:pPr>
    </w:p>
    <w:p w14:paraId="1DDA1B5F" w14:textId="6E59A641" w:rsidR="00E7167D" w:rsidRPr="00E7167D" w:rsidRDefault="00234EDF" w:rsidP="00E7167D">
      <w:pPr>
        <w:rPr>
          <w:b/>
          <w:bCs/>
          <w:u w:val="single"/>
        </w:rPr>
      </w:pPr>
      <w:r>
        <w:rPr>
          <w:b/>
          <w:bCs/>
          <w:u w:val="single"/>
        </w:rPr>
        <w:t>Resource</w:t>
      </w:r>
      <w:r w:rsidR="00E7167D" w:rsidRPr="00E7167D">
        <w:rPr>
          <w:b/>
          <w:bCs/>
          <w:u w:val="single"/>
        </w:rPr>
        <w:t xml:space="preserve"> Links:</w:t>
      </w:r>
    </w:p>
    <w:p w14:paraId="5AA9ADB7" w14:textId="23116B9C" w:rsidR="00E7167D" w:rsidRDefault="00234EDF" w:rsidP="00BB227F">
      <w:pPr>
        <w:pStyle w:val="Default"/>
        <w:spacing w:after="44"/>
        <w:rPr>
          <w:rFonts w:asciiTheme="majorHAnsi" w:hAnsiTheme="majorHAnsi" w:cstheme="majorHAnsi"/>
          <w:sz w:val="22"/>
          <w:szCs w:val="22"/>
        </w:rPr>
      </w:pPr>
      <w:hyperlink r:id="rId11" w:history="1">
        <w:r w:rsidR="00E7167D" w:rsidRPr="00E7167D">
          <w:rPr>
            <w:rStyle w:val="Hyperlink"/>
            <w:rFonts w:asciiTheme="majorHAnsi" w:hAnsiTheme="majorHAnsi" w:cstheme="majorHAnsi"/>
            <w:sz w:val="22"/>
            <w:szCs w:val="22"/>
          </w:rPr>
          <w:t>Moving Your Numbers – Key Practices</w:t>
        </w:r>
      </w:hyperlink>
      <w:r w:rsidR="00E7167D">
        <w:rPr>
          <w:rFonts w:asciiTheme="majorHAnsi" w:hAnsiTheme="majorHAnsi" w:cstheme="majorHAnsi"/>
          <w:sz w:val="22"/>
          <w:szCs w:val="22"/>
        </w:rPr>
        <w:t xml:space="preserve">  (</w:t>
      </w:r>
      <w:r w:rsidR="00E7167D" w:rsidRPr="00E7167D">
        <w:rPr>
          <w:rFonts w:asciiTheme="majorHAnsi" w:hAnsiTheme="majorHAnsi" w:cstheme="majorHAnsi"/>
          <w:sz w:val="22"/>
          <w:szCs w:val="22"/>
        </w:rPr>
        <w:t>https://movingyournumbers.org/key-practices</w:t>
      </w:r>
      <w:r w:rsidR="00E7167D">
        <w:rPr>
          <w:rFonts w:asciiTheme="majorHAnsi" w:hAnsiTheme="majorHAnsi" w:cstheme="majorHAnsi"/>
          <w:sz w:val="22"/>
          <w:szCs w:val="22"/>
        </w:rPr>
        <w:t>)</w:t>
      </w:r>
    </w:p>
    <w:p w14:paraId="07E5A1FC" w14:textId="00850058" w:rsidR="00E7167D" w:rsidRDefault="00E7167D" w:rsidP="00BB227F">
      <w:pPr>
        <w:pStyle w:val="Default"/>
        <w:spacing w:after="44"/>
        <w:rPr>
          <w:rFonts w:asciiTheme="majorHAnsi" w:hAnsiTheme="majorHAnsi" w:cstheme="majorHAnsi"/>
          <w:sz w:val="22"/>
          <w:szCs w:val="22"/>
          <w:shd w:val="clear" w:color="auto" w:fill="FFFFFF"/>
        </w:rPr>
      </w:pPr>
      <w:r w:rsidRPr="00E7167D">
        <w:rPr>
          <w:rFonts w:asciiTheme="majorHAnsi" w:hAnsiTheme="majorHAnsi" w:cstheme="majorHAnsi"/>
          <w:sz w:val="22"/>
          <w:szCs w:val="22"/>
          <w:shd w:val="clear" w:color="auto" w:fill="FFFFFF"/>
        </w:rPr>
        <w:t>Moving Your Numbers provides examples of real districts that are positively affecting the performance of all children, including students with disabilities, through a collective and focused commitment to improving teaching and learning for every student through effective data use and changing the ways in which adults across the system work and learn together. The Key Practices section of this website features subpages on each of the six key practices such as using data well, focusing on goals, selection and implementation of instructional practices and monitoring and provision of feedback and support, among others and including a Key Practices Guide</w:t>
      </w:r>
    </w:p>
    <w:p w14:paraId="1E08B4F9" w14:textId="77777777" w:rsidR="00E7167D" w:rsidRDefault="00E7167D" w:rsidP="00BB227F">
      <w:pPr>
        <w:pStyle w:val="Default"/>
        <w:spacing w:after="44"/>
        <w:rPr>
          <w:rFonts w:asciiTheme="majorHAnsi" w:hAnsiTheme="majorHAnsi" w:cstheme="majorHAnsi"/>
          <w:sz w:val="22"/>
          <w:szCs w:val="22"/>
          <w:shd w:val="clear" w:color="auto" w:fill="FFFFFF"/>
        </w:rPr>
      </w:pPr>
    </w:p>
    <w:p w14:paraId="3A21C3FC" w14:textId="18F9CDCA" w:rsidR="00E7167D" w:rsidRDefault="00234EDF" w:rsidP="00BB227F">
      <w:pPr>
        <w:pStyle w:val="Default"/>
        <w:spacing w:after="44"/>
        <w:rPr>
          <w:rFonts w:asciiTheme="majorHAnsi" w:hAnsiTheme="majorHAnsi" w:cstheme="majorHAnsi"/>
          <w:sz w:val="22"/>
          <w:szCs w:val="22"/>
          <w:shd w:val="clear" w:color="auto" w:fill="FFFFFF"/>
        </w:rPr>
      </w:pPr>
      <w:hyperlink r:id="rId12" w:history="1">
        <w:r w:rsidR="00E7167D" w:rsidRPr="00E7167D">
          <w:rPr>
            <w:rStyle w:val="Hyperlink"/>
            <w:rFonts w:asciiTheme="majorHAnsi" w:hAnsiTheme="majorHAnsi" w:cstheme="majorHAnsi"/>
            <w:sz w:val="22"/>
            <w:szCs w:val="22"/>
            <w:shd w:val="clear" w:color="auto" w:fill="FFFFFF"/>
          </w:rPr>
          <w:t>National Technical Assistance Center on Transition (NTACT)</w:t>
        </w:r>
      </w:hyperlink>
      <w:r w:rsidR="00E7167D">
        <w:rPr>
          <w:rFonts w:asciiTheme="majorHAnsi" w:hAnsiTheme="majorHAnsi" w:cstheme="majorHAnsi"/>
          <w:sz w:val="22"/>
          <w:szCs w:val="22"/>
          <w:shd w:val="clear" w:color="auto" w:fill="FFFFFF"/>
        </w:rPr>
        <w:t xml:space="preserve"> (</w:t>
      </w:r>
      <w:r w:rsidR="00E7167D" w:rsidRPr="00E7167D">
        <w:rPr>
          <w:rFonts w:asciiTheme="majorHAnsi" w:hAnsiTheme="majorHAnsi" w:cstheme="majorHAnsi"/>
          <w:sz w:val="22"/>
          <w:szCs w:val="22"/>
          <w:shd w:val="clear" w:color="auto" w:fill="FFFFFF"/>
        </w:rPr>
        <w:t>https://transitionta.org/</w:t>
      </w:r>
      <w:r w:rsidR="00E7167D">
        <w:rPr>
          <w:rFonts w:asciiTheme="majorHAnsi" w:hAnsiTheme="majorHAnsi" w:cstheme="majorHAnsi"/>
          <w:sz w:val="22"/>
          <w:szCs w:val="22"/>
          <w:shd w:val="clear" w:color="auto" w:fill="FFFFFF"/>
        </w:rPr>
        <w:t xml:space="preserve">) </w:t>
      </w:r>
    </w:p>
    <w:p w14:paraId="5EABFD90" w14:textId="6902FB9D" w:rsidR="00E7167D" w:rsidRDefault="00E7167D" w:rsidP="00BB227F">
      <w:pPr>
        <w:pStyle w:val="Default"/>
        <w:spacing w:after="44"/>
        <w:rPr>
          <w:rFonts w:asciiTheme="majorHAnsi" w:hAnsiTheme="majorHAnsi" w:cstheme="majorHAnsi"/>
          <w:sz w:val="22"/>
          <w:szCs w:val="22"/>
          <w:shd w:val="clear" w:color="auto" w:fill="FFFFFF"/>
        </w:rPr>
      </w:pPr>
      <w:r w:rsidRPr="00E7167D">
        <w:rPr>
          <w:rFonts w:asciiTheme="majorHAnsi" w:hAnsiTheme="majorHAnsi" w:cstheme="majorHAnsi"/>
          <w:sz w:val="22"/>
          <w:szCs w:val="22"/>
          <w:shd w:val="clear" w:color="auto" w:fill="FFFFFF"/>
        </w:rPr>
        <w:t xml:space="preserve">NTACT is a partnership between the University of North Carolina at Charlotte, the University of Oregon, Western Michigan University, the Transition Coalition at the University of Kansas and </w:t>
      </w:r>
      <w:proofErr w:type="spellStart"/>
      <w:r w:rsidRPr="00E7167D">
        <w:rPr>
          <w:rFonts w:asciiTheme="majorHAnsi" w:hAnsiTheme="majorHAnsi" w:cstheme="majorHAnsi"/>
          <w:sz w:val="22"/>
          <w:szCs w:val="22"/>
          <w:shd w:val="clear" w:color="auto" w:fill="FFFFFF"/>
        </w:rPr>
        <w:t>TransCen</w:t>
      </w:r>
      <w:proofErr w:type="spellEnd"/>
      <w:r w:rsidRPr="00E7167D">
        <w:rPr>
          <w:rFonts w:asciiTheme="majorHAnsi" w:hAnsiTheme="majorHAnsi" w:cstheme="majorHAnsi"/>
          <w:sz w:val="22"/>
          <w:szCs w:val="22"/>
          <w:shd w:val="clear" w:color="auto" w:fill="FFFFFF"/>
        </w:rPr>
        <w:t>, Inc. NTACT serves as a transition resource for state and local educational agencies and vocational rehabilitation agencies and service providers. Announcements, resources, and webinars are available on the website.</w:t>
      </w:r>
    </w:p>
    <w:p w14:paraId="57E0C1E7" w14:textId="22B25568" w:rsidR="00E7167D" w:rsidRDefault="00E7167D" w:rsidP="00E7167D">
      <w:pPr>
        <w:pStyle w:val="Default"/>
        <w:numPr>
          <w:ilvl w:val="0"/>
          <w:numId w:val="2"/>
        </w:numPr>
        <w:spacing w:after="44"/>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Postsecondary Resources</w:t>
      </w:r>
    </w:p>
    <w:p w14:paraId="757A5E3A" w14:textId="2E833D84" w:rsidR="00E7167D" w:rsidRDefault="00E7167D" w:rsidP="00E7167D">
      <w:pPr>
        <w:pStyle w:val="Default"/>
        <w:numPr>
          <w:ilvl w:val="0"/>
          <w:numId w:val="2"/>
        </w:numPr>
        <w:spacing w:after="44"/>
        <w:rPr>
          <w:rFonts w:asciiTheme="majorHAnsi" w:hAnsiTheme="majorHAnsi" w:cstheme="majorHAnsi"/>
          <w:sz w:val="22"/>
          <w:szCs w:val="22"/>
          <w:shd w:val="clear" w:color="auto" w:fill="FFFFFF"/>
        </w:rPr>
      </w:pPr>
      <w:r>
        <w:rPr>
          <w:rFonts w:asciiTheme="majorHAnsi" w:hAnsiTheme="majorHAnsi" w:cstheme="majorHAnsi"/>
          <w:sz w:val="22"/>
          <w:szCs w:val="22"/>
          <w:shd w:val="clear" w:color="auto" w:fill="FFFFFF"/>
        </w:rPr>
        <w:t>Predictors of Pos</w:t>
      </w:r>
      <w:r w:rsidR="00334B46">
        <w:rPr>
          <w:rFonts w:asciiTheme="majorHAnsi" w:hAnsiTheme="majorHAnsi" w:cstheme="majorHAnsi"/>
          <w:sz w:val="22"/>
          <w:szCs w:val="22"/>
          <w:shd w:val="clear" w:color="auto" w:fill="FFFFFF"/>
        </w:rPr>
        <w:t>t</w:t>
      </w:r>
      <w:r>
        <w:rPr>
          <w:rFonts w:asciiTheme="majorHAnsi" w:hAnsiTheme="majorHAnsi" w:cstheme="majorHAnsi"/>
          <w:sz w:val="22"/>
          <w:szCs w:val="22"/>
          <w:shd w:val="clear" w:color="auto" w:fill="FFFFFF"/>
        </w:rPr>
        <w:t>-School Success</w:t>
      </w:r>
    </w:p>
    <w:p w14:paraId="2E7D7C5E" w14:textId="131A0AB4" w:rsidR="00E7167D" w:rsidRPr="002F42D6" w:rsidRDefault="00E7167D" w:rsidP="00BB227F">
      <w:pPr>
        <w:pStyle w:val="Default"/>
        <w:numPr>
          <w:ilvl w:val="0"/>
          <w:numId w:val="2"/>
        </w:numPr>
        <w:spacing w:after="44"/>
        <w:rPr>
          <w:rFonts w:asciiTheme="majorHAnsi" w:hAnsiTheme="majorHAnsi" w:cstheme="majorHAnsi"/>
          <w:sz w:val="22"/>
          <w:szCs w:val="22"/>
        </w:rPr>
      </w:pPr>
      <w:r w:rsidRPr="002F42D6">
        <w:rPr>
          <w:rFonts w:asciiTheme="majorHAnsi" w:hAnsiTheme="majorHAnsi" w:cstheme="majorHAnsi"/>
          <w:sz w:val="22"/>
          <w:szCs w:val="22"/>
          <w:shd w:val="clear" w:color="auto" w:fill="FFFFFF"/>
        </w:rPr>
        <w:t>Predictor Implementation Self-Assessment</w:t>
      </w:r>
    </w:p>
    <w:p w14:paraId="4B4B953C" w14:textId="1CB687FC" w:rsidR="00234EDF" w:rsidRDefault="00234EDF" w:rsidP="00A53BFB"/>
    <w:p w14:paraId="191D6686" w14:textId="77777777" w:rsidR="00863198" w:rsidRDefault="00863198" w:rsidP="00A53BFB"/>
    <w:p w14:paraId="7792C67C" w14:textId="77777777" w:rsidR="00A53BFB" w:rsidRPr="00FF1781" w:rsidRDefault="00A53BFB" w:rsidP="00A53BFB">
      <w:pPr>
        <w:pStyle w:val="NoSpacing"/>
        <w:jc w:val="center"/>
        <w:rPr>
          <w:b/>
          <w:bCs/>
          <w:sz w:val="28"/>
          <w:szCs w:val="28"/>
          <w:u w:val="thick"/>
        </w:rPr>
      </w:pPr>
      <w:r w:rsidRPr="00FF1781">
        <w:rPr>
          <w:b/>
          <w:bCs/>
          <w:sz w:val="28"/>
          <w:szCs w:val="28"/>
          <w:u w:val="thick"/>
        </w:rPr>
        <w:t>Glossary and Coding Reference</w:t>
      </w:r>
    </w:p>
    <w:p w14:paraId="54D582CC" w14:textId="43D142BD" w:rsidR="00A53BFB" w:rsidRPr="00FF1781" w:rsidRDefault="00A53BFB" w:rsidP="00A53BFB">
      <w:pPr>
        <w:pStyle w:val="NoSpacing"/>
        <w:jc w:val="center"/>
      </w:pPr>
      <w:r>
        <w:t xml:space="preserve">For Post-School Outcome </w:t>
      </w:r>
      <w:r w:rsidR="00934A60">
        <w:t>Data</w:t>
      </w:r>
    </w:p>
    <w:tbl>
      <w:tblPr>
        <w:tblStyle w:val="TableGrid"/>
        <w:tblW w:w="10800" w:type="dxa"/>
        <w:jc w:val="center"/>
        <w:tblLook w:val="04A0" w:firstRow="1" w:lastRow="0" w:firstColumn="1" w:lastColumn="0" w:noHBand="0" w:noVBand="1"/>
      </w:tblPr>
      <w:tblGrid>
        <w:gridCol w:w="2155"/>
        <w:gridCol w:w="1440"/>
        <w:gridCol w:w="7205"/>
      </w:tblGrid>
      <w:tr w:rsidR="00A53BFB" w:rsidRPr="00934A60" w14:paraId="2DFA79F0" w14:textId="77777777" w:rsidTr="00934A60">
        <w:trPr>
          <w:jc w:val="center"/>
        </w:trPr>
        <w:tc>
          <w:tcPr>
            <w:tcW w:w="2155" w:type="dxa"/>
            <w:tcBorders>
              <w:bottom w:val="single" w:sz="12" w:space="0" w:color="auto"/>
            </w:tcBorders>
            <w:shd w:val="clear" w:color="auto" w:fill="DEEAF6" w:themeFill="accent5" w:themeFillTint="33"/>
          </w:tcPr>
          <w:p w14:paraId="1E07C0C6" w14:textId="77777777" w:rsidR="00A53BFB" w:rsidRPr="00934A60" w:rsidRDefault="00A53BFB" w:rsidP="00EC211C">
            <w:pPr>
              <w:jc w:val="center"/>
              <w:rPr>
                <w:rFonts w:cstheme="minorHAnsi"/>
                <w:b/>
                <w:bCs/>
                <w:sz w:val="28"/>
                <w:szCs w:val="28"/>
              </w:rPr>
            </w:pPr>
            <w:bookmarkStart w:id="0" w:name="OLE_LINK1"/>
            <w:r w:rsidRPr="00934A60">
              <w:rPr>
                <w:rFonts w:cstheme="minorHAnsi"/>
                <w:b/>
                <w:bCs/>
                <w:sz w:val="28"/>
                <w:szCs w:val="28"/>
              </w:rPr>
              <w:t>Term</w:t>
            </w:r>
          </w:p>
        </w:tc>
        <w:tc>
          <w:tcPr>
            <w:tcW w:w="1440" w:type="dxa"/>
            <w:tcBorders>
              <w:bottom w:val="single" w:sz="12" w:space="0" w:color="auto"/>
            </w:tcBorders>
            <w:shd w:val="clear" w:color="auto" w:fill="DEEAF6" w:themeFill="accent5" w:themeFillTint="33"/>
          </w:tcPr>
          <w:p w14:paraId="2A7B3EA7" w14:textId="267AEA09" w:rsidR="00A53BFB" w:rsidRPr="00934A60" w:rsidRDefault="00334B46" w:rsidP="00EC211C">
            <w:pPr>
              <w:jc w:val="center"/>
              <w:rPr>
                <w:rFonts w:cstheme="minorHAnsi"/>
                <w:b/>
                <w:bCs/>
                <w:sz w:val="28"/>
                <w:szCs w:val="28"/>
              </w:rPr>
            </w:pPr>
            <w:r w:rsidRPr="00934A60">
              <w:rPr>
                <w:rFonts w:cstheme="minorHAnsi"/>
                <w:b/>
                <w:bCs/>
                <w:sz w:val="28"/>
                <w:szCs w:val="28"/>
              </w:rPr>
              <w:t xml:space="preserve">Follow-up </w:t>
            </w:r>
            <w:r w:rsidR="00A53BFB" w:rsidRPr="00934A60">
              <w:rPr>
                <w:rFonts w:cstheme="minorHAnsi"/>
                <w:b/>
                <w:bCs/>
                <w:sz w:val="28"/>
                <w:szCs w:val="28"/>
              </w:rPr>
              <w:t>Code</w:t>
            </w:r>
          </w:p>
        </w:tc>
        <w:tc>
          <w:tcPr>
            <w:tcW w:w="7205" w:type="dxa"/>
            <w:tcBorders>
              <w:bottom w:val="single" w:sz="12" w:space="0" w:color="auto"/>
            </w:tcBorders>
            <w:shd w:val="clear" w:color="auto" w:fill="DEEAF6" w:themeFill="accent5" w:themeFillTint="33"/>
          </w:tcPr>
          <w:p w14:paraId="551F5486" w14:textId="77777777" w:rsidR="00A53BFB" w:rsidRPr="00934A60" w:rsidRDefault="00A53BFB" w:rsidP="00EC211C">
            <w:pPr>
              <w:jc w:val="center"/>
              <w:rPr>
                <w:rFonts w:cstheme="minorHAnsi"/>
                <w:b/>
                <w:bCs/>
                <w:sz w:val="28"/>
                <w:szCs w:val="28"/>
              </w:rPr>
            </w:pPr>
            <w:r w:rsidRPr="00934A60">
              <w:rPr>
                <w:rFonts w:cstheme="minorHAnsi"/>
                <w:b/>
                <w:bCs/>
                <w:sz w:val="28"/>
                <w:szCs w:val="28"/>
              </w:rPr>
              <w:t>Definition</w:t>
            </w:r>
          </w:p>
        </w:tc>
      </w:tr>
      <w:tr w:rsidR="00A53BFB" w:rsidRPr="00934A60" w14:paraId="093299D0" w14:textId="77777777" w:rsidTr="00934A60">
        <w:trPr>
          <w:jc w:val="center"/>
        </w:trPr>
        <w:tc>
          <w:tcPr>
            <w:tcW w:w="2155" w:type="dxa"/>
            <w:tcBorders>
              <w:top w:val="single" w:sz="12" w:space="0" w:color="auto"/>
            </w:tcBorders>
          </w:tcPr>
          <w:p w14:paraId="7D24BD2E" w14:textId="77777777" w:rsidR="00A53BFB" w:rsidRPr="00934A60" w:rsidRDefault="00A53BFB" w:rsidP="00EC211C">
            <w:pPr>
              <w:rPr>
                <w:rFonts w:cstheme="minorHAnsi"/>
                <w:sz w:val="24"/>
                <w:szCs w:val="24"/>
              </w:rPr>
            </w:pPr>
            <w:r w:rsidRPr="00934A60">
              <w:rPr>
                <w:rFonts w:cstheme="minorHAnsi"/>
                <w:sz w:val="24"/>
                <w:szCs w:val="24"/>
              </w:rPr>
              <w:t>Advanced Training Courses</w:t>
            </w:r>
          </w:p>
        </w:tc>
        <w:tc>
          <w:tcPr>
            <w:tcW w:w="1440" w:type="dxa"/>
            <w:tcBorders>
              <w:top w:val="single" w:sz="12" w:space="0" w:color="auto"/>
            </w:tcBorders>
          </w:tcPr>
          <w:p w14:paraId="057A9B7B" w14:textId="77777777" w:rsidR="00A53BFB" w:rsidRPr="00934A60" w:rsidRDefault="00A53BFB" w:rsidP="00EC211C">
            <w:pPr>
              <w:rPr>
                <w:rFonts w:cstheme="minorHAnsi"/>
                <w:b/>
                <w:bCs/>
                <w:sz w:val="24"/>
                <w:szCs w:val="24"/>
              </w:rPr>
            </w:pPr>
            <w:r w:rsidRPr="00934A60">
              <w:rPr>
                <w:rFonts w:cstheme="minorHAnsi"/>
                <w:b/>
                <w:bCs/>
                <w:sz w:val="24"/>
                <w:szCs w:val="24"/>
              </w:rPr>
              <w:t>ADV</w:t>
            </w:r>
          </w:p>
        </w:tc>
        <w:tc>
          <w:tcPr>
            <w:tcW w:w="7205" w:type="dxa"/>
            <w:tcBorders>
              <w:top w:val="single" w:sz="12" w:space="0" w:color="auto"/>
            </w:tcBorders>
          </w:tcPr>
          <w:p w14:paraId="4BAB6445" w14:textId="77777777" w:rsidR="00A53BFB" w:rsidRPr="00934A60" w:rsidRDefault="00A53BFB" w:rsidP="00EC211C">
            <w:pPr>
              <w:rPr>
                <w:rFonts w:cstheme="minorHAnsi"/>
                <w:sz w:val="24"/>
                <w:szCs w:val="24"/>
              </w:rPr>
            </w:pPr>
            <w:r w:rsidRPr="00934A60">
              <w:rPr>
                <w:rFonts w:cstheme="minorHAnsi"/>
                <w:sz w:val="24"/>
                <w:szCs w:val="24"/>
              </w:rPr>
              <w:t xml:space="preserve">Programs of study that provides a set of skills that lead to proficiency and performing actual tasks and technical functions. </w:t>
            </w:r>
          </w:p>
        </w:tc>
      </w:tr>
      <w:tr w:rsidR="00A53BFB" w:rsidRPr="00934A60" w14:paraId="0056E00F" w14:textId="77777777" w:rsidTr="00934A60">
        <w:trPr>
          <w:jc w:val="center"/>
        </w:trPr>
        <w:tc>
          <w:tcPr>
            <w:tcW w:w="2155" w:type="dxa"/>
          </w:tcPr>
          <w:p w14:paraId="754385DE" w14:textId="77777777" w:rsidR="00A53BFB" w:rsidRPr="00934A60" w:rsidRDefault="00A53BFB" w:rsidP="00EC211C">
            <w:pPr>
              <w:rPr>
                <w:rFonts w:cstheme="minorHAnsi"/>
                <w:sz w:val="24"/>
                <w:szCs w:val="24"/>
              </w:rPr>
            </w:pPr>
            <w:r w:rsidRPr="00934A60">
              <w:rPr>
                <w:rFonts w:cstheme="minorHAnsi"/>
                <w:sz w:val="24"/>
                <w:szCs w:val="24"/>
              </w:rPr>
              <w:t>College or University</w:t>
            </w:r>
          </w:p>
        </w:tc>
        <w:tc>
          <w:tcPr>
            <w:tcW w:w="1440" w:type="dxa"/>
          </w:tcPr>
          <w:p w14:paraId="3A739687" w14:textId="7863C7F1" w:rsidR="00A53BFB" w:rsidRPr="00934A60" w:rsidRDefault="00A53BFB" w:rsidP="00EC211C">
            <w:pPr>
              <w:rPr>
                <w:rFonts w:cstheme="minorHAnsi"/>
                <w:b/>
                <w:bCs/>
                <w:sz w:val="24"/>
                <w:szCs w:val="24"/>
              </w:rPr>
            </w:pPr>
            <w:r w:rsidRPr="00934A60">
              <w:rPr>
                <w:rFonts w:cstheme="minorHAnsi"/>
                <w:b/>
                <w:bCs/>
                <w:sz w:val="24"/>
                <w:szCs w:val="24"/>
              </w:rPr>
              <w:t xml:space="preserve">2YR </w:t>
            </w:r>
            <w:r w:rsidRPr="00934A60">
              <w:rPr>
                <w:rFonts w:cstheme="minorHAnsi"/>
                <w:sz w:val="24"/>
                <w:szCs w:val="24"/>
              </w:rPr>
              <w:t>or</w:t>
            </w:r>
            <w:r w:rsidRPr="00934A60">
              <w:rPr>
                <w:rFonts w:cstheme="minorHAnsi"/>
                <w:b/>
                <w:bCs/>
                <w:sz w:val="24"/>
                <w:szCs w:val="24"/>
              </w:rPr>
              <w:t xml:space="preserve"> 4Y</w:t>
            </w:r>
            <w:r w:rsidR="00D1636B" w:rsidRPr="00934A60">
              <w:rPr>
                <w:rFonts w:cstheme="minorHAnsi"/>
                <w:b/>
                <w:bCs/>
                <w:sz w:val="24"/>
                <w:szCs w:val="24"/>
              </w:rPr>
              <w:t>R</w:t>
            </w:r>
          </w:p>
        </w:tc>
        <w:tc>
          <w:tcPr>
            <w:tcW w:w="7205" w:type="dxa"/>
          </w:tcPr>
          <w:p w14:paraId="7F627CB3" w14:textId="5897A99B" w:rsidR="00A53BFB" w:rsidRPr="00934A60" w:rsidRDefault="00A53BFB" w:rsidP="00EC211C">
            <w:pPr>
              <w:rPr>
                <w:rFonts w:cstheme="minorHAnsi"/>
                <w:sz w:val="24"/>
                <w:szCs w:val="24"/>
              </w:rPr>
            </w:pPr>
            <w:r w:rsidRPr="00934A60">
              <w:rPr>
                <w:rFonts w:cstheme="minorHAnsi"/>
                <w:sz w:val="24"/>
                <w:szCs w:val="24"/>
              </w:rPr>
              <w:t xml:space="preserve">Any higher education school that offers a </w:t>
            </w:r>
            <w:r w:rsidR="00F85466" w:rsidRPr="00934A60">
              <w:rPr>
                <w:rFonts w:cstheme="minorHAnsi"/>
                <w:sz w:val="24"/>
                <w:szCs w:val="24"/>
              </w:rPr>
              <w:t xml:space="preserve">two year or </w:t>
            </w:r>
            <w:r w:rsidRPr="00934A60">
              <w:rPr>
                <w:rFonts w:cstheme="minorHAnsi"/>
                <w:sz w:val="24"/>
                <w:szCs w:val="24"/>
              </w:rPr>
              <w:t xml:space="preserve">four year or above degree. Community colleges are those higher education schools that offer an associate degree. </w:t>
            </w:r>
          </w:p>
        </w:tc>
      </w:tr>
      <w:tr w:rsidR="00A53BFB" w:rsidRPr="00934A60" w14:paraId="399B1380" w14:textId="77777777" w:rsidTr="00934A60">
        <w:trPr>
          <w:jc w:val="center"/>
        </w:trPr>
        <w:tc>
          <w:tcPr>
            <w:tcW w:w="2155" w:type="dxa"/>
          </w:tcPr>
          <w:p w14:paraId="1FDE4AD6" w14:textId="77777777" w:rsidR="00A53BFB" w:rsidRPr="00934A60" w:rsidRDefault="00A53BFB" w:rsidP="00EC211C">
            <w:pPr>
              <w:rPr>
                <w:rFonts w:cstheme="minorHAnsi"/>
                <w:sz w:val="24"/>
                <w:szCs w:val="24"/>
              </w:rPr>
            </w:pPr>
            <w:r w:rsidRPr="00934A60">
              <w:rPr>
                <w:rFonts w:cstheme="minorHAnsi"/>
                <w:sz w:val="24"/>
                <w:szCs w:val="24"/>
              </w:rPr>
              <w:t>Competitive Employment</w:t>
            </w:r>
          </w:p>
        </w:tc>
        <w:tc>
          <w:tcPr>
            <w:tcW w:w="1440" w:type="dxa"/>
          </w:tcPr>
          <w:p w14:paraId="2DE9ADBD" w14:textId="77777777" w:rsidR="00A53BFB" w:rsidRPr="00934A60" w:rsidRDefault="00A53BFB" w:rsidP="00EC211C">
            <w:pPr>
              <w:rPr>
                <w:rFonts w:cstheme="minorHAnsi"/>
                <w:b/>
                <w:bCs/>
                <w:sz w:val="24"/>
                <w:szCs w:val="24"/>
              </w:rPr>
            </w:pPr>
            <w:r w:rsidRPr="00934A60">
              <w:rPr>
                <w:rFonts w:cstheme="minorHAnsi"/>
                <w:b/>
                <w:bCs/>
                <w:sz w:val="24"/>
                <w:szCs w:val="24"/>
              </w:rPr>
              <w:t>EMP</w:t>
            </w:r>
          </w:p>
        </w:tc>
        <w:tc>
          <w:tcPr>
            <w:tcW w:w="7205" w:type="dxa"/>
          </w:tcPr>
          <w:p w14:paraId="78BB0426" w14:textId="4BFECB6B" w:rsidR="00A53BFB" w:rsidRPr="00934A60" w:rsidRDefault="00A53BFB" w:rsidP="00EC211C">
            <w:pPr>
              <w:rPr>
                <w:rFonts w:cstheme="minorHAnsi"/>
                <w:sz w:val="24"/>
                <w:szCs w:val="24"/>
              </w:rPr>
            </w:pPr>
            <w:r w:rsidRPr="00934A60">
              <w:rPr>
                <w:rFonts w:cstheme="minorHAnsi"/>
                <w:sz w:val="24"/>
                <w:szCs w:val="24"/>
              </w:rPr>
              <w:t>Employment with compensation of minimum wage or higher. Additionally,</w:t>
            </w:r>
            <w:r w:rsidR="00F85466" w:rsidRPr="00934A60">
              <w:rPr>
                <w:rFonts w:cstheme="minorHAnsi"/>
                <w:sz w:val="24"/>
                <w:szCs w:val="24"/>
              </w:rPr>
              <w:t xml:space="preserve"> for </w:t>
            </w:r>
            <w:r w:rsidRPr="00934A60">
              <w:rPr>
                <w:rFonts w:cstheme="minorHAnsi"/>
                <w:sz w:val="24"/>
                <w:szCs w:val="24"/>
              </w:rPr>
              <w:t>students with disabilities</w:t>
            </w:r>
            <w:r w:rsidR="00F85466" w:rsidRPr="00934A60">
              <w:rPr>
                <w:rFonts w:cstheme="minorHAnsi"/>
                <w:sz w:val="24"/>
                <w:szCs w:val="24"/>
              </w:rPr>
              <w:t>,</w:t>
            </w:r>
            <w:r w:rsidRPr="00934A60">
              <w:rPr>
                <w:rFonts w:cstheme="minorHAnsi"/>
                <w:sz w:val="24"/>
                <w:szCs w:val="24"/>
              </w:rPr>
              <w:t xml:space="preserve"> the pay rate, benefits, and opportunities for advancement should be comparable to those </w:t>
            </w:r>
            <w:r w:rsidR="00F85466" w:rsidRPr="00934A60">
              <w:rPr>
                <w:rFonts w:cstheme="minorHAnsi"/>
                <w:sz w:val="24"/>
                <w:szCs w:val="24"/>
              </w:rPr>
              <w:t xml:space="preserve">for </w:t>
            </w:r>
            <w:r w:rsidRPr="00934A60">
              <w:rPr>
                <w:rFonts w:cstheme="minorHAnsi"/>
                <w:sz w:val="24"/>
                <w:szCs w:val="24"/>
              </w:rPr>
              <w:t xml:space="preserve">nondisabled peers, and the person with a disability </w:t>
            </w:r>
            <w:r w:rsidR="00F85466" w:rsidRPr="00934A60">
              <w:rPr>
                <w:rFonts w:cstheme="minorHAnsi"/>
                <w:sz w:val="24"/>
                <w:szCs w:val="24"/>
              </w:rPr>
              <w:t xml:space="preserve">is </w:t>
            </w:r>
            <w:r w:rsidRPr="00934A60">
              <w:rPr>
                <w:rFonts w:cstheme="minorHAnsi"/>
                <w:sz w:val="24"/>
                <w:szCs w:val="24"/>
              </w:rPr>
              <w:t xml:space="preserve">working in a setting with nondisabled workers. </w:t>
            </w:r>
          </w:p>
        </w:tc>
      </w:tr>
      <w:tr w:rsidR="003B5A42" w:rsidRPr="00934A60" w14:paraId="3FDC4996" w14:textId="77777777" w:rsidTr="00934A60">
        <w:trPr>
          <w:jc w:val="center"/>
        </w:trPr>
        <w:tc>
          <w:tcPr>
            <w:tcW w:w="2155" w:type="dxa"/>
          </w:tcPr>
          <w:p w14:paraId="14D665DE" w14:textId="6D2402C2" w:rsidR="003B5A42" w:rsidRPr="00934A60" w:rsidRDefault="003B5A42" w:rsidP="00EC211C">
            <w:pPr>
              <w:rPr>
                <w:rFonts w:cstheme="minorHAnsi"/>
                <w:sz w:val="24"/>
                <w:szCs w:val="24"/>
              </w:rPr>
            </w:pPr>
            <w:r w:rsidRPr="00934A60">
              <w:rPr>
                <w:rFonts w:cstheme="minorHAnsi"/>
                <w:sz w:val="24"/>
                <w:szCs w:val="24"/>
              </w:rPr>
              <w:t>Individuals with Disabilities Education Act</w:t>
            </w:r>
            <w:r w:rsidR="00D1636B" w:rsidRPr="00934A60">
              <w:rPr>
                <w:rFonts w:cstheme="minorHAnsi"/>
                <w:sz w:val="24"/>
                <w:szCs w:val="24"/>
              </w:rPr>
              <w:t xml:space="preserve"> (IDEA)</w:t>
            </w:r>
          </w:p>
        </w:tc>
        <w:tc>
          <w:tcPr>
            <w:tcW w:w="1440" w:type="dxa"/>
          </w:tcPr>
          <w:p w14:paraId="000EB3B1" w14:textId="2A66492B" w:rsidR="003B5A42" w:rsidRPr="00934A60" w:rsidRDefault="003B5A42" w:rsidP="00EC211C">
            <w:pPr>
              <w:rPr>
                <w:rFonts w:cstheme="minorHAnsi"/>
                <w:b/>
                <w:bCs/>
                <w:sz w:val="24"/>
                <w:szCs w:val="24"/>
              </w:rPr>
            </w:pPr>
          </w:p>
        </w:tc>
        <w:tc>
          <w:tcPr>
            <w:tcW w:w="7205" w:type="dxa"/>
          </w:tcPr>
          <w:p w14:paraId="4F105010" w14:textId="6A944ABA" w:rsidR="003B5A42" w:rsidRPr="00934A60" w:rsidRDefault="00F85466" w:rsidP="00EC211C">
            <w:pPr>
              <w:rPr>
                <w:rFonts w:cstheme="minorHAnsi"/>
                <w:sz w:val="24"/>
                <w:szCs w:val="24"/>
              </w:rPr>
            </w:pPr>
            <w:r w:rsidRPr="00934A60">
              <w:rPr>
                <w:rFonts w:cstheme="minorHAnsi"/>
                <w:sz w:val="24"/>
                <w:szCs w:val="24"/>
              </w:rPr>
              <w:t xml:space="preserve">Federal </w:t>
            </w:r>
            <w:r w:rsidR="003B5A42" w:rsidRPr="00934A60">
              <w:rPr>
                <w:rFonts w:cstheme="minorHAnsi"/>
                <w:sz w:val="24"/>
                <w:szCs w:val="24"/>
              </w:rPr>
              <w:t>law enacted in 1975 th</w:t>
            </w:r>
            <w:r w:rsidR="001677AC" w:rsidRPr="00934A60">
              <w:rPr>
                <w:rFonts w:cstheme="minorHAnsi"/>
                <w:sz w:val="24"/>
                <w:szCs w:val="24"/>
              </w:rPr>
              <w:t xml:space="preserve">at provides for the IEP process and services to students with disabilities. For more information: </w:t>
            </w:r>
            <w:hyperlink r:id="rId13" w:history="1">
              <w:r w:rsidR="001677AC" w:rsidRPr="00934A60">
                <w:rPr>
                  <w:rStyle w:val="Hyperlink"/>
                  <w:rFonts w:cstheme="minorHAnsi"/>
                  <w:sz w:val="24"/>
                  <w:szCs w:val="24"/>
                </w:rPr>
                <w:t>https://www.parentcenterhub.org/idea/</w:t>
              </w:r>
            </w:hyperlink>
            <w:r w:rsidR="001677AC" w:rsidRPr="00934A60">
              <w:rPr>
                <w:rFonts w:cstheme="minorHAnsi"/>
                <w:sz w:val="24"/>
                <w:szCs w:val="24"/>
              </w:rPr>
              <w:t xml:space="preserve"> </w:t>
            </w:r>
          </w:p>
        </w:tc>
      </w:tr>
      <w:tr w:rsidR="003B5A42" w:rsidRPr="00934A60" w14:paraId="694677A0" w14:textId="77777777" w:rsidTr="00934A60">
        <w:trPr>
          <w:jc w:val="center"/>
        </w:trPr>
        <w:tc>
          <w:tcPr>
            <w:tcW w:w="2155" w:type="dxa"/>
          </w:tcPr>
          <w:p w14:paraId="09FE6637" w14:textId="4235F0DE" w:rsidR="003B5A42" w:rsidRPr="00934A60" w:rsidRDefault="003B5A42" w:rsidP="00EC211C">
            <w:pPr>
              <w:rPr>
                <w:rFonts w:cstheme="minorHAnsi"/>
                <w:sz w:val="24"/>
                <w:szCs w:val="24"/>
              </w:rPr>
            </w:pPr>
            <w:r w:rsidRPr="00934A60">
              <w:rPr>
                <w:rFonts w:cstheme="minorHAnsi"/>
                <w:sz w:val="24"/>
                <w:szCs w:val="24"/>
              </w:rPr>
              <w:t>Local Education Agency</w:t>
            </w:r>
            <w:r w:rsidR="00D1636B" w:rsidRPr="00934A60">
              <w:rPr>
                <w:rFonts w:cstheme="minorHAnsi"/>
                <w:sz w:val="24"/>
                <w:szCs w:val="24"/>
              </w:rPr>
              <w:t xml:space="preserve"> (LEA)</w:t>
            </w:r>
          </w:p>
        </w:tc>
        <w:tc>
          <w:tcPr>
            <w:tcW w:w="1440" w:type="dxa"/>
          </w:tcPr>
          <w:p w14:paraId="7FA3EFDE" w14:textId="3111CC44" w:rsidR="003B5A42" w:rsidRPr="00934A60" w:rsidRDefault="003B5A42" w:rsidP="00EC211C">
            <w:pPr>
              <w:rPr>
                <w:rFonts w:cstheme="minorHAnsi"/>
                <w:b/>
                <w:bCs/>
                <w:sz w:val="24"/>
                <w:szCs w:val="24"/>
              </w:rPr>
            </w:pPr>
          </w:p>
        </w:tc>
        <w:tc>
          <w:tcPr>
            <w:tcW w:w="7205" w:type="dxa"/>
          </w:tcPr>
          <w:p w14:paraId="4F361813" w14:textId="6B12D4A0" w:rsidR="003B5A42" w:rsidRPr="00934A60" w:rsidRDefault="00F85466" w:rsidP="00EC211C">
            <w:pPr>
              <w:rPr>
                <w:rFonts w:cstheme="minorHAnsi"/>
                <w:sz w:val="24"/>
                <w:szCs w:val="24"/>
              </w:rPr>
            </w:pPr>
            <w:r w:rsidRPr="00934A60">
              <w:rPr>
                <w:rFonts w:cstheme="minorHAnsi"/>
                <w:sz w:val="24"/>
                <w:szCs w:val="24"/>
              </w:rPr>
              <w:t>A</w:t>
            </w:r>
            <w:r w:rsidR="003B5A42" w:rsidRPr="00934A60">
              <w:rPr>
                <w:rFonts w:cstheme="minorHAnsi"/>
                <w:sz w:val="24"/>
                <w:szCs w:val="24"/>
              </w:rPr>
              <w:t xml:space="preserve">nother </w:t>
            </w:r>
            <w:r w:rsidRPr="00934A60">
              <w:rPr>
                <w:rFonts w:cstheme="minorHAnsi"/>
                <w:sz w:val="24"/>
                <w:szCs w:val="24"/>
              </w:rPr>
              <w:t>term</w:t>
            </w:r>
            <w:r w:rsidR="003B5A42" w:rsidRPr="00934A60">
              <w:rPr>
                <w:rFonts w:cstheme="minorHAnsi"/>
                <w:sz w:val="24"/>
                <w:szCs w:val="24"/>
              </w:rPr>
              <w:t xml:space="preserve"> for </w:t>
            </w:r>
            <w:r w:rsidRPr="00934A60">
              <w:rPr>
                <w:rFonts w:cstheme="minorHAnsi"/>
                <w:sz w:val="24"/>
                <w:szCs w:val="24"/>
              </w:rPr>
              <w:t>s</w:t>
            </w:r>
            <w:r w:rsidR="003B5A42" w:rsidRPr="00934A60">
              <w:rPr>
                <w:rFonts w:cstheme="minorHAnsi"/>
                <w:sz w:val="24"/>
                <w:szCs w:val="24"/>
              </w:rPr>
              <w:t xml:space="preserve">chool </w:t>
            </w:r>
            <w:r w:rsidRPr="00934A60">
              <w:rPr>
                <w:rFonts w:cstheme="minorHAnsi"/>
                <w:sz w:val="24"/>
                <w:szCs w:val="24"/>
              </w:rPr>
              <w:t>d</w:t>
            </w:r>
            <w:r w:rsidR="003B5A42" w:rsidRPr="00934A60">
              <w:rPr>
                <w:rFonts w:cstheme="minorHAnsi"/>
                <w:sz w:val="24"/>
                <w:szCs w:val="24"/>
              </w:rPr>
              <w:t>istrict</w:t>
            </w:r>
          </w:p>
        </w:tc>
      </w:tr>
      <w:tr w:rsidR="00A53BFB" w:rsidRPr="00934A60" w14:paraId="20595831" w14:textId="77777777" w:rsidTr="00934A60">
        <w:trPr>
          <w:jc w:val="center"/>
        </w:trPr>
        <w:tc>
          <w:tcPr>
            <w:tcW w:w="2155" w:type="dxa"/>
          </w:tcPr>
          <w:p w14:paraId="0D47EC58" w14:textId="77777777" w:rsidR="00A53BFB" w:rsidRPr="00934A60" w:rsidRDefault="00A53BFB" w:rsidP="00EC211C">
            <w:pPr>
              <w:rPr>
                <w:rFonts w:cstheme="minorHAnsi"/>
                <w:sz w:val="24"/>
                <w:szCs w:val="24"/>
              </w:rPr>
            </w:pPr>
            <w:r w:rsidRPr="00934A60">
              <w:rPr>
                <w:rFonts w:cstheme="minorHAnsi"/>
                <w:sz w:val="24"/>
                <w:szCs w:val="24"/>
              </w:rPr>
              <w:t>Military</w:t>
            </w:r>
          </w:p>
        </w:tc>
        <w:tc>
          <w:tcPr>
            <w:tcW w:w="1440" w:type="dxa"/>
          </w:tcPr>
          <w:p w14:paraId="1B42B374" w14:textId="77777777" w:rsidR="00A53BFB" w:rsidRPr="00934A60" w:rsidRDefault="00A53BFB" w:rsidP="00EC211C">
            <w:pPr>
              <w:rPr>
                <w:rFonts w:cstheme="minorHAnsi"/>
                <w:b/>
                <w:bCs/>
                <w:sz w:val="24"/>
                <w:szCs w:val="24"/>
              </w:rPr>
            </w:pPr>
            <w:r w:rsidRPr="00934A60">
              <w:rPr>
                <w:rFonts w:cstheme="minorHAnsi"/>
                <w:b/>
                <w:bCs/>
                <w:sz w:val="24"/>
                <w:szCs w:val="24"/>
              </w:rPr>
              <w:t>MIL</w:t>
            </w:r>
          </w:p>
        </w:tc>
        <w:tc>
          <w:tcPr>
            <w:tcW w:w="7205" w:type="dxa"/>
          </w:tcPr>
          <w:p w14:paraId="68EB278E" w14:textId="18F787B3" w:rsidR="00A53BFB" w:rsidRPr="00934A60" w:rsidRDefault="00A53BFB" w:rsidP="00EC211C">
            <w:pPr>
              <w:rPr>
                <w:rFonts w:cstheme="minorHAnsi"/>
                <w:sz w:val="24"/>
                <w:szCs w:val="24"/>
              </w:rPr>
            </w:pPr>
            <w:r w:rsidRPr="00934A60">
              <w:rPr>
                <w:rFonts w:cstheme="minorHAnsi"/>
                <w:sz w:val="24"/>
                <w:szCs w:val="24"/>
              </w:rPr>
              <w:t xml:space="preserve">Recruitment or enlistment </w:t>
            </w:r>
            <w:r w:rsidR="00F85466" w:rsidRPr="00934A60">
              <w:rPr>
                <w:rFonts w:cstheme="minorHAnsi"/>
                <w:sz w:val="24"/>
                <w:szCs w:val="24"/>
              </w:rPr>
              <w:t>in</w:t>
            </w:r>
            <w:r w:rsidRPr="00934A60">
              <w:rPr>
                <w:rFonts w:cstheme="minorHAnsi"/>
                <w:sz w:val="24"/>
                <w:szCs w:val="24"/>
              </w:rPr>
              <w:t xml:space="preserve"> one of the military branches. </w:t>
            </w:r>
          </w:p>
        </w:tc>
      </w:tr>
      <w:tr w:rsidR="00A53BFB" w:rsidRPr="00934A60" w14:paraId="03BFA3B3" w14:textId="77777777" w:rsidTr="00934A60">
        <w:trPr>
          <w:jc w:val="center"/>
        </w:trPr>
        <w:tc>
          <w:tcPr>
            <w:tcW w:w="2155" w:type="dxa"/>
          </w:tcPr>
          <w:p w14:paraId="1E990EF8" w14:textId="6AE1C2BE" w:rsidR="00A53BFB" w:rsidRPr="00934A60" w:rsidRDefault="00A53BFB" w:rsidP="00EC211C">
            <w:pPr>
              <w:rPr>
                <w:rFonts w:cstheme="minorHAnsi"/>
                <w:sz w:val="24"/>
                <w:szCs w:val="24"/>
              </w:rPr>
            </w:pPr>
            <w:r w:rsidRPr="00934A60">
              <w:rPr>
                <w:rFonts w:cstheme="minorHAnsi"/>
                <w:sz w:val="24"/>
                <w:szCs w:val="24"/>
              </w:rPr>
              <w:t xml:space="preserve">National </w:t>
            </w:r>
            <w:r w:rsidR="007B6A41">
              <w:rPr>
                <w:rFonts w:cstheme="minorHAnsi"/>
                <w:sz w:val="24"/>
                <w:szCs w:val="24"/>
              </w:rPr>
              <w:t xml:space="preserve">or </w:t>
            </w:r>
            <w:r w:rsidRPr="00934A60">
              <w:rPr>
                <w:rFonts w:cstheme="minorHAnsi"/>
                <w:sz w:val="24"/>
                <w:szCs w:val="24"/>
              </w:rPr>
              <w:t>Community Service or Peace Corp</w:t>
            </w:r>
            <w:r w:rsidR="00F85466" w:rsidRPr="00934A60">
              <w:rPr>
                <w:rFonts w:cstheme="minorHAnsi"/>
                <w:sz w:val="24"/>
                <w:szCs w:val="24"/>
              </w:rPr>
              <w:t>s</w:t>
            </w:r>
            <w:r w:rsidRPr="00934A60">
              <w:rPr>
                <w:rFonts w:cstheme="minorHAnsi"/>
                <w:sz w:val="24"/>
                <w:szCs w:val="24"/>
              </w:rPr>
              <w:t xml:space="preserve"> </w:t>
            </w:r>
          </w:p>
        </w:tc>
        <w:tc>
          <w:tcPr>
            <w:tcW w:w="1440" w:type="dxa"/>
          </w:tcPr>
          <w:p w14:paraId="70DFF84A" w14:textId="77777777" w:rsidR="00A53BFB" w:rsidRPr="00934A60" w:rsidRDefault="00A53BFB" w:rsidP="00EC211C">
            <w:pPr>
              <w:rPr>
                <w:rFonts w:cstheme="minorHAnsi"/>
                <w:b/>
                <w:bCs/>
                <w:sz w:val="24"/>
                <w:szCs w:val="24"/>
              </w:rPr>
            </w:pPr>
            <w:r w:rsidRPr="00934A60">
              <w:rPr>
                <w:rFonts w:cstheme="minorHAnsi"/>
                <w:b/>
                <w:bCs/>
                <w:sz w:val="24"/>
                <w:szCs w:val="24"/>
              </w:rPr>
              <w:t>NPC</w:t>
            </w:r>
          </w:p>
        </w:tc>
        <w:tc>
          <w:tcPr>
            <w:tcW w:w="7205" w:type="dxa"/>
          </w:tcPr>
          <w:p w14:paraId="5B451190" w14:textId="6E4F9629" w:rsidR="00A53BFB" w:rsidRPr="00934A60" w:rsidRDefault="00A53BFB" w:rsidP="00EC211C">
            <w:pPr>
              <w:rPr>
                <w:rFonts w:cstheme="minorHAnsi"/>
                <w:sz w:val="24"/>
                <w:szCs w:val="24"/>
              </w:rPr>
            </w:pPr>
            <w:r w:rsidRPr="00934A60">
              <w:rPr>
                <w:rFonts w:cstheme="minorHAnsi"/>
                <w:sz w:val="24"/>
                <w:szCs w:val="24"/>
              </w:rPr>
              <w:t xml:space="preserve">Participation in a program such as the </w:t>
            </w:r>
            <w:r w:rsidR="00F85466" w:rsidRPr="00934A60">
              <w:rPr>
                <w:rFonts w:cstheme="minorHAnsi"/>
                <w:sz w:val="24"/>
                <w:szCs w:val="24"/>
              </w:rPr>
              <w:t>P</w:t>
            </w:r>
            <w:r w:rsidRPr="00934A60">
              <w:rPr>
                <w:rFonts w:cstheme="minorHAnsi"/>
                <w:sz w:val="24"/>
                <w:szCs w:val="24"/>
              </w:rPr>
              <w:t xml:space="preserve">eace </w:t>
            </w:r>
            <w:r w:rsidR="00F85466" w:rsidRPr="00934A60">
              <w:rPr>
                <w:rFonts w:cstheme="minorHAnsi"/>
                <w:sz w:val="24"/>
                <w:szCs w:val="24"/>
              </w:rPr>
              <w:t>C</w:t>
            </w:r>
            <w:r w:rsidRPr="00934A60">
              <w:rPr>
                <w:rFonts w:cstheme="minorHAnsi"/>
                <w:sz w:val="24"/>
                <w:szCs w:val="24"/>
              </w:rPr>
              <w:t>orps where service is on a time-limited basis.</w:t>
            </w:r>
          </w:p>
        </w:tc>
      </w:tr>
      <w:tr w:rsidR="00A53BFB" w:rsidRPr="00934A60" w14:paraId="5B2E929A" w14:textId="77777777" w:rsidTr="00934A60">
        <w:trPr>
          <w:jc w:val="center"/>
        </w:trPr>
        <w:tc>
          <w:tcPr>
            <w:tcW w:w="2155" w:type="dxa"/>
          </w:tcPr>
          <w:p w14:paraId="69F7AA18" w14:textId="77777777" w:rsidR="00A53BFB" w:rsidRPr="00934A60" w:rsidRDefault="00A53BFB" w:rsidP="00EC211C">
            <w:pPr>
              <w:rPr>
                <w:rFonts w:cstheme="minorHAnsi"/>
                <w:sz w:val="24"/>
                <w:szCs w:val="24"/>
              </w:rPr>
            </w:pPr>
            <w:r w:rsidRPr="00934A60">
              <w:rPr>
                <w:rFonts w:cstheme="minorHAnsi"/>
                <w:sz w:val="24"/>
                <w:szCs w:val="24"/>
              </w:rPr>
              <w:t>Noncollege</w:t>
            </w:r>
          </w:p>
        </w:tc>
        <w:tc>
          <w:tcPr>
            <w:tcW w:w="1440" w:type="dxa"/>
          </w:tcPr>
          <w:p w14:paraId="5D455107" w14:textId="77777777" w:rsidR="00A53BFB" w:rsidRPr="00934A60" w:rsidRDefault="00A53BFB" w:rsidP="00EC211C">
            <w:pPr>
              <w:rPr>
                <w:rFonts w:cstheme="minorHAnsi"/>
                <w:b/>
                <w:bCs/>
                <w:sz w:val="24"/>
                <w:szCs w:val="24"/>
              </w:rPr>
            </w:pPr>
            <w:r w:rsidRPr="00934A60">
              <w:rPr>
                <w:rFonts w:cstheme="minorHAnsi"/>
                <w:b/>
                <w:bCs/>
                <w:sz w:val="24"/>
                <w:szCs w:val="24"/>
              </w:rPr>
              <w:t>NOC</w:t>
            </w:r>
          </w:p>
        </w:tc>
        <w:tc>
          <w:tcPr>
            <w:tcW w:w="7205" w:type="dxa"/>
          </w:tcPr>
          <w:p w14:paraId="4742727A" w14:textId="380E9D6B" w:rsidR="00A53BFB" w:rsidRPr="00934A60" w:rsidRDefault="00F85466" w:rsidP="00EC211C">
            <w:pPr>
              <w:rPr>
                <w:rFonts w:cstheme="minorHAnsi"/>
                <w:sz w:val="24"/>
                <w:szCs w:val="24"/>
              </w:rPr>
            </w:pPr>
            <w:r w:rsidRPr="00934A60">
              <w:rPr>
                <w:rFonts w:cstheme="minorHAnsi"/>
                <w:sz w:val="24"/>
                <w:szCs w:val="24"/>
              </w:rPr>
              <w:t>Postsecondary</w:t>
            </w:r>
            <w:r w:rsidR="00A53BFB" w:rsidRPr="00934A60">
              <w:rPr>
                <w:rFonts w:cstheme="minorHAnsi"/>
                <w:sz w:val="24"/>
                <w:szCs w:val="24"/>
              </w:rPr>
              <w:t xml:space="preserve"> school</w:t>
            </w:r>
            <w:r w:rsidRPr="00934A60">
              <w:rPr>
                <w:rFonts w:cstheme="minorHAnsi"/>
                <w:sz w:val="24"/>
                <w:szCs w:val="24"/>
              </w:rPr>
              <w:t xml:space="preserve">s or training programs </w:t>
            </w:r>
            <w:r w:rsidR="00A53BFB" w:rsidRPr="00934A60">
              <w:rPr>
                <w:rFonts w:cstheme="minorHAnsi"/>
                <w:sz w:val="24"/>
                <w:szCs w:val="24"/>
              </w:rPr>
              <w:t xml:space="preserve">that do not give college credit. These are programs that do not offer degrees and can include technical or other training programs. This can be used for students in </w:t>
            </w:r>
            <w:r w:rsidRPr="00934A60">
              <w:rPr>
                <w:rFonts w:cstheme="minorHAnsi"/>
                <w:sz w:val="24"/>
                <w:szCs w:val="24"/>
              </w:rPr>
              <w:t>J</w:t>
            </w:r>
            <w:r w:rsidR="00A53BFB" w:rsidRPr="00934A60">
              <w:rPr>
                <w:rFonts w:cstheme="minorHAnsi"/>
                <w:sz w:val="24"/>
                <w:szCs w:val="24"/>
              </w:rPr>
              <w:t xml:space="preserve">ob </w:t>
            </w:r>
            <w:r w:rsidRPr="00934A60">
              <w:rPr>
                <w:rFonts w:cstheme="minorHAnsi"/>
                <w:sz w:val="24"/>
                <w:szCs w:val="24"/>
              </w:rPr>
              <w:t>C</w:t>
            </w:r>
            <w:r w:rsidR="00A53BFB" w:rsidRPr="00934A60">
              <w:rPr>
                <w:rFonts w:cstheme="minorHAnsi"/>
                <w:sz w:val="24"/>
                <w:szCs w:val="24"/>
              </w:rPr>
              <w:t xml:space="preserve">orps programs who are being trained for a specific skill. </w:t>
            </w:r>
          </w:p>
        </w:tc>
      </w:tr>
      <w:tr w:rsidR="00A53BFB" w:rsidRPr="00934A60" w14:paraId="776194E7" w14:textId="77777777" w:rsidTr="00934A60">
        <w:trPr>
          <w:jc w:val="center"/>
        </w:trPr>
        <w:tc>
          <w:tcPr>
            <w:tcW w:w="2155" w:type="dxa"/>
          </w:tcPr>
          <w:p w14:paraId="24BB0772" w14:textId="77777777" w:rsidR="00A53BFB" w:rsidRPr="00934A60" w:rsidRDefault="00A53BFB" w:rsidP="00EC211C">
            <w:pPr>
              <w:rPr>
                <w:rFonts w:cstheme="minorHAnsi"/>
                <w:sz w:val="24"/>
                <w:szCs w:val="24"/>
              </w:rPr>
            </w:pPr>
            <w:r w:rsidRPr="00934A60">
              <w:rPr>
                <w:rFonts w:cstheme="minorHAnsi"/>
                <w:sz w:val="24"/>
                <w:szCs w:val="24"/>
              </w:rPr>
              <w:t>Non-Competitive Employment</w:t>
            </w:r>
          </w:p>
        </w:tc>
        <w:tc>
          <w:tcPr>
            <w:tcW w:w="1440" w:type="dxa"/>
          </w:tcPr>
          <w:p w14:paraId="361970AA" w14:textId="77777777" w:rsidR="00A53BFB" w:rsidRPr="00934A60" w:rsidRDefault="00A53BFB" w:rsidP="00EC211C">
            <w:pPr>
              <w:rPr>
                <w:rFonts w:cstheme="minorHAnsi"/>
                <w:b/>
                <w:bCs/>
                <w:sz w:val="24"/>
                <w:szCs w:val="24"/>
              </w:rPr>
            </w:pPr>
            <w:r w:rsidRPr="00934A60">
              <w:rPr>
                <w:rFonts w:cstheme="minorHAnsi"/>
                <w:b/>
                <w:bCs/>
                <w:sz w:val="24"/>
                <w:szCs w:val="24"/>
              </w:rPr>
              <w:t>ENC</w:t>
            </w:r>
          </w:p>
        </w:tc>
        <w:tc>
          <w:tcPr>
            <w:tcW w:w="7205" w:type="dxa"/>
          </w:tcPr>
          <w:p w14:paraId="0903F1D8" w14:textId="67199570" w:rsidR="00A53BFB" w:rsidRPr="00934A60" w:rsidRDefault="00A53BFB" w:rsidP="00EC211C">
            <w:pPr>
              <w:rPr>
                <w:rFonts w:cstheme="minorHAnsi"/>
                <w:sz w:val="24"/>
                <w:szCs w:val="24"/>
              </w:rPr>
            </w:pPr>
            <w:r w:rsidRPr="00934A60">
              <w:rPr>
                <w:rFonts w:cstheme="minorHAnsi"/>
                <w:sz w:val="24"/>
                <w:szCs w:val="24"/>
              </w:rPr>
              <w:t xml:space="preserve">Employment when the position does not meet the requirements for competitive employment. This typically refers to Sheltered Workshops. </w:t>
            </w:r>
          </w:p>
        </w:tc>
      </w:tr>
      <w:tr w:rsidR="00A53BFB" w:rsidRPr="00934A60" w14:paraId="6D0C94B1" w14:textId="77777777" w:rsidTr="00934A60">
        <w:trPr>
          <w:jc w:val="center"/>
        </w:trPr>
        <w:tc>
          <w:tcPr>
            <w:tcW w:w="2155" w:type="dxa"/>
          </w:tcPr>
          <w:p w14:paraId="759A4CEA" w14:textId="77777777" w:rsidR="00A53BFB" w:rsidRPr="00934A60" w:rsidRDefault="00A53BFB" w:rsidP="00EC211C">
            <w:pPr>
              <w:rPr>
                <w:rFonts w:cstheme="minorHAnsi"/>
                <w:sz w:val="24"/>
                <w:szCs w:val="24"/>
              </w:rPr>
            </w:pPr>
            <w:r w:rsidRPr="00934A60">
              <w:rPr>
                <w:rFonts w:cstheme="minorHAnsi"/>
                <w:sz w:val="24"/>
                <w:szCs w:val="24"/>
              </w:rPr>
              <w:t>Not applicable</w:t>
            </w:r>
          </w:p>
        </w:tc>
        <w:tc>
          <w:tcPr>
            <w:tcW w:w="1440" w:type="dxa"/>
          </w:tcPr>
          <w:p w14:paraId="3B859589" w14:textId="77777777" w:rsidR="00A53BFB" w:rsidRPr="00934A60" w:rsidRDefault="00A53BFB" w:rsidP="00EC211C">
            <w:pPr>
              <w:rPr>
                <w:rFonts w:cstheme="minorHAnsi"/>
                <w:b/>
                <w:bCs/>
                <w:sz w:val="24"/>
                <w:szCs w:val="24"/>
              </w:rPr>
            </w:pPr>
            <w:r w:rsidRPr="00934A60">
              <w:rPr>
                <w:rFonts w:cstheme="minorHAnsi"/>
                <w:b/>
                <w:bCs/>
                <w:sz w:val="24"/>
                <w:szCs w:val="24"/>
              </w:rPr>
              <w:t>NA</w:t>
            </w:r>
          </w:p>
        </w:tc>
        <w:tc>
          <w:tcPr>
            <w:tcW w:w="7205" w:type="dxa"/>
          </w:tcPr>
          <w:p w14:paraId="0EC66B3C" w14:textId="785A162F" w:rsidR="00A53BFB" w:rsidRPr="00934A60" w:rsidRDefault="00F85466" w:rsidP="00EC211C">
            <w:pPr>
              <w:rPr>
                <w:rFonts w:cstheme="minorHAnsi"/>
                <w:sz w:val="24"/>
                <w:szCs w:val="24"/>
              </w:rPr>
            </w:pPr>
            <w:r w:rsidRPr="00934A60">
              <w:rPr>
                <w:rFonts w:cstheme="minorHAnsi"/>
                <w:sz w:val="24"/>
                <w:szCs w:val="24"/>
              </w:rPr>
              <w:t>Should primarily be used to report the follow-up status of students who dropped out and returned to school after the September count date for the following school year. Can also be used for students who passed</w:t>
            </w:r>
            <w:r w:rsidR="00A53BFB" w:rsidRPr="00934A60">
              <w:rPr>
                <w:rFonts w:cstheme="minorHAnsi"/>
                <w:sz w:val="24"/>
                <w:szCs w:val="24"/>
              </w:rPr>
              <w:t xml:space="preserve"> away after leaving </w:t>
            </w:r>
            <w:r w:rsidRPr="00934A60">
              <w:rPr>
                <w:rFonts w:cstheme="minorHAnsi"/>
                <w:sz w:val="24"/>
                <w:szCs w:val="24"/>
              </w:rPr>
              <w:t xml:space="preserve">high </w:t>
            </w:r>
            <w:r w:rsidR="00A53BFB" w:rsidRPr="00934A60">
              <w:rPr>
                <w:rFonts w:cstheme="minorHAnsi"/>
                <w:sz w:val="24"/>
                <w:szCs w:val="24"/>
              </w:rPr>
              <w:t>school</w:t>
            </w:r>
            <w:r w:rsidRPr="00934A60">
              <w:rPr>
                <w:rFonts w:cstheme="minorHAnsi"/>
                <w:sz w:val="24"/>
                <w:szCs w:val="24"/>
              </w:rPr>
              <w:t>, h</w:t>
            </w:r>
            <w:r w:rsidR="00A53BFB" w:rsidRPr="00934A60">
              <w:rPr>
                <w:rFonts w:cstheme="minorHAnsi"/>
                <w:sz w:val="24"/>
                <w:szCs w:val="24"/>
              </w:rPr>
              <w:t xml:space="preserve">owever, it </w:t>
            </w:r>
            <w:r w:rsidRPr="00934A60">
              <w:rPr>
                <w:rFonts w:cstheme="minorHAnsi"/>
                <w:sz w:val="24"/>
                <w:szCs w:val="24"/>
              </w:rPr>
              <w:t xml:space="preserve">is preferred to report what the student was </w:t>
            </w:r>
            <w:r w:rsidR="00A53BFB" w:rsidRPr="00934A60">
              <w:rPr>
                <w:rFonts w:cstheme="minorHAnsi"/>
                <w:sz w:val="24"/>
                <w:szCs w:val="24"/>
              </w:rPr>
              <w:t>doing prior to death.</w:t>
            </w:r>
          </w:p>
        </w:tc>
      </w:tr>
      <w:tr w:rsidR="00A53BFB" w:rsidRPr="00934A60" w14:paraId="66BA4E81" w14:textId="77777777" w:rsidTr="00934A60">
        <w:trPr>
          <w:jc w:val="center"/>
        </w:trPr>
        <w:tc>
          <w:tcPr>
            <w:tcW w:w="2155" w:type="dxa"/>
          </w:tcPr>
          <w:p w14:paraId="16B13779" w14:textId="77777777" w:rsidR="00A53BFB" w:rsidRPr="00934A60" w:rsidRDefault="00A53BFB" w:rsidP="00EC211C">
            <w:pPr>
              <w:rPr>
                <w:rFonts w:cstheme="minorHAnsi"/>
                <w:sz w:val="24"/>
                <w:szCs w:val="24"/>
              </w:rPr>
            </w:pPr>
            <w:r w:rsidRPr="00934A60">
              <w:rPr>
                <w:rFonts w:cstheme="minorHAnsi"/>
                <w:sz w:val="24"/>
                <w:szCs w:val="24"/>
              </w:rPr>
              <w:t>Other</w:t>
            </w:r>
          </w:p>
        </w:tc>
        <w:tc>
          <w:tcPr>
            <w:tcW w:w="1440" w:type="dxa"/>
          </w:tcPr>
          <w:p w14:paraId="27A9E976" w14:textId="77777777" w:rsidR="00A53BFB" w:rsidRPr="00934A60" w:rsidRDefault="00A53BFB" w:rsidP="00EC211C">
            <w:pPr>
              <w:rPr>
                <w:rFonts w:cstheme="minorHAnsi"/>
                <w:b/>
                <w:bCs/>
                <w:sz w:val="24"/>
                <w:szCs w:val="24"/>
              </w:rPr>
            </w:pPr>
            <w:r w:rsidRPr="00934A60">
              <w:rPr>
                <w:rFonts w:cstheme="minorHAnsi"/>
                <w:b/>
                <w:bCs/>
                <w:sz w:val="24"/>
                <w:szCs w:val="24"/>
              </w:rPr>
              <w:t>OTH</w:t>
            </w:r>
          </w:p>
        </w:tc>
        <w:tc>
          <w:tcPr>
            <w:tcW w:w="7205" w:type="dxa"/>
          </w:tcPr>
          <w:p w14:paraId="3C6E18CD" w14:textId="26C0B717" w:rsidR="00A53BFB" w:rsidRPr="00934A60" w:rsidRDefault="00A53BFB" w:rsidP="00EC211C">
            <w:pPr>
              <w:rPr>
                <w:rFonts w:cstheme="minorHAnsi"/>
                <w:sz w:val="24"/>
                <w:szCs w:val="24"/>
              </w:rPr>
            </w:pPr>
            <w:r w:rsidRPr="00934A60">
              <w:rPr>
                <w:rFonts w:cstheme="minorHAnsi"/>
                <w:sz w:val="24"/>
                <w:szCs w:val="24"/>
              </w:rPr>
              <w:t>Use when you know what the student is doing but is not recorded in any of the other specified categories.</w:t>
            </w:r>
            <w:r w:rsidR="00F85466" w:rsidRPr="00934A60">
              <w:rPr>
                <w:rFonts w:cstheme="minorHAnsi"/>
                <w:sz w:val="24"/>
                <w:szCs w:val="24"/>
              </w:rPr>
              <w:t xml:space="preserve"> </w:t>
            </w:r>
          </w:p>
        </w:tc>
      </w:tr>
      <w:tr w:rsidR="00A53BFB" w:rsidRPr="00934A60" w14:paraId="6125188C" w14:textId="77777777" w:rsidTr="00934A60">
        <w:trPr>
          <w:jc w:val="center"/>
        </w:trPr>
        <w:tc>
          <w:tcPr>
            <w:tcW w:w="2155" w:type="dxa"/>
          </w:tcPr>
          <w:p w14:paraId="4E23D737" w14:textId="383D5DA1" w:rsidR="00A53BFB" w:rsidRPr="00934A60" w:rsidRDefault="00A53BFB" w:rsidP="00EC211C">
            <w:pPr>
              <w:rPr>
                <w:rFonts w:cstheme="minorHAnsi"/>
                <w:sz w:val="24"/>
                <w:szCs w:val="24"/>
              </w:rPr>
            </w:pPr>
            <w:r w:rsidRPr="00934A60">
              <w:rPr>
                <w:rFonts w:cstheme="minorHAnsi"/>
                <w:sz w:val="24"/>
                <w:szCs w:val="24"/>
              </w:rPr>
              <w:t>Secondary School</w:t>
            </w:r>
          </w:p>
        </w:tc>
        <w:tc>
          <w:tcPr>
            <w:tcW w:w="1440" w:type="dxa"/>
          </w:tcPr>
          <w:p w14:paraId="50042A0D" w14:textId="77777777" w:rsidR="00A53BFB" w:rsidRPr="00934A60" w:rsidRDefault="00A53BFB" w:rsidP="00EC211C">
            <w:pPr>
              <w:rPr>
                <w:rFonts w:cstheme="minorHAnsi"/>
                <w:b/>
                <w:bCs/>
                <w:sz w:val="24"/>
                <w:szCs w:val="24"/>
              </w:rPr>
            </w:pPr>
          </w:p>
        </w:tc>
        <w:tc>
          <w:tcPr>
            <w:tcW w:w="7205" w:type="dxa"/>
          </w:tcPr>
          <w:p w14:paraId="4ACE2317" w14:textId="2FC5F77D" w:rsidR="00A53BFB" w:rsidRPr="00934A60" w:rsidRDefault="00D1636B" w:rsidP="00EC211C">
            <w:pPr>
              <w:rPr>
                <w:rFonts w:cstheme="minorHAnsi"/>
                <w:sz w:val="24"/>
                <w:szCs w:val="24"/>
              </w:rPr>
            </w:pPr>
            <w:r w:rsidRPr="00934A60">
              <w:rPr>
                <w:rFonts w:cstheme="minorHAnsi"/>
                <w:sz w:val="24"/>
                <w:szCs w:val="24"/>
              </w:rPr>
              <w:t>H</w:t>
            </w:r>
            <w:r w:rsidR="00A53BFB" w:rsidRPr="00934A60">
              <w:rPr>
                <w:rFonts w:cstheme="minorHAnsi"/>
                <w:sz w:val="24"/>
                <w:szCs w:val="24"/>
              </w:rPr>
              <w:t>igh school, grades 9-12.</w:t>
            </w:r>
          </w:p>
        </w:tc>
      </w:tr>
      <w:tr w:rsidR="00A53BFB" w:rsidRPr="00934A60" w14:paraId="578046AC" w14:textId="77777777" w:rsidTr="00934A60">
        <w:trPr>
          <w:jc w:val="center"/>
        </w:trPr>
        <w:tc>
          <w:tcPr>
            <w:tcW w:w="2155" w:type="dxa"/>
          </w:tcPr>
          <w:p w14:paraId="1462A97F" w14:textId="77777777" w:rsidR="00A53BFB" w:rsidRPr="00934A60" w:rsidRDefault="00A53BFB" w:rsidP="00EC211C">
            <w:pPr>
              <w:rPr>
                <w:rFonts w:cstheme="minorHAnsi"/>
                <w:sz w:val="24"/>
                <w:szCs w:val="24"/>
              </w:rPr>
            </w:pPr>
            <w:r w:rsidRPr="00934A60">
              <w:rPr>
                <w:rFonts w:cstheme="minorHAnsi"/>
                <w:sz w:val="24"/>
                <w:szCs w:val="24"/>
              </w:rPr>
              <w:t>Unknown</w:t>
            </w:r>
          </w:p>
        </w:tc>
        <w:tc>
          <w:tcPr>
            <w:tcW w:w="1440" w:type="dxa"/>
          </w:tcPr>
          <w:p w14:paraId="280D1F91" w14:textId="77777777" w:rsidR="00A53BFB" w:rsidRPr="00934A60" w:rsidRDefault="00A53BFB" w:rsidP="00EC211C">
            <w:pPr>
              <w:rPr>
                <w:rFonts w:cstheme="minorHAnsi"/>
                <w:b/>
                <w:bCs/>
                <w:sz w:val="24"/>
                <w:szCs w:val="24"/>
              </w:rPr>
            </w:pPr>
            <w:r w:rsidRPr="00934A60">
              <w:rPr>
                <w:rFonts w:cstheme="minorHAnsi"/>
                <w:b/>
                <w:bCs/>
                <w:sz w:val="24"/>
                <w:szCs w:val="24"/>
              </w:rPr>
              <w:t>UNK</w:t>
            </w:r>
          </w:p>
        </w:tc>
        <w:tc>
          <w:tcPr>
            <w:tcW w:w="7205" w:type="dxa"/>
          </w:tcPr>
          <w:p w14:paraId="1A80BA85" w14:textId="37684E5C" w:rsidR="00A53BFB" w:rsidRPr="00934A60" w:rsidRDefault="00F85466" w:rsidP="00EC211C">
            <w:pPr>
              <w:rPr>
                <w:rFonts w:cstheme="minorHAnsi"/>
                <w:sz w:val="24"/>
                <w:szCs w:val="24"/>
              </w:rPr>
            </w:pPr>
            <w:r w:rsidRPr="00934A60">
              <w:rPr>
                <w:rFonts w:cstheme="minorHAnsi"/>
                <w:sz w:val="24"/>
                <w:szCs w:val="24"/>
              </w:rPr>
              <w:t>S</w:t>
            </w:r>
            <w:r w:rsidR="00A53BFB" w:rsidRPr="00934A60">
              <w:rPr>
                <w:rFonts w:cstheme="minorHAnsi"/>
                <w:sz w:val="24"/>
                <w:szCs w:val="24"/>
              </w:rPr>
              <w:t xml:space="preserve">tudent cannot be located to conduct the follow-up survey. </w:t>
            </w:r>
          </w:p>
        </w:tc>
      </w:tr>
      <w:bookmarkEnd w:id="0"/>
    </w:tbl>
    <w:p w14:paraId="6BD3DCDB" w14:textId="47AE96E8" w:rsidR="00863198" w:rsidRDefault="00863198" w:rsidP="00A53BFB">
      <w:pPr>
        <w:rPr>
          <w:rFonts w:cstheme="minorHAnsi"/>
          <w:b/>
          <w:bCs/>
          <w:sz w:val="24"/>
          <w:szCs w:val="24"/>
        </w:rPr>
      </w:pPr>
    </w:p>
    <w:p w14:paraId="75043C4F" w14:textId="77777777" w:rsidR="002F42D6" w:rsidRDefault="002F42D6" w:rsidP="00A53BFB">
      <w:pPr>
        <w:rPr>
          <w:rFonts w:cstheme="minorHAnsi"/>
          <w:b/>
          <w:bCs/>
          <w:sz w:val="24"/>
          <w:szCs w:val="24"/>
        </w:rPr>
      </w:pPr>
    </w:p>
    <w:p w14:paraId="3CF54A54" w14:textId="77777777" w:rsidR="00FB1577" w:rsidRDefault="00FB1577" w:rsidP="00FB1577">
      <w:pPr>
        <w:pStyle w:val="Footer"/>
      </w:pPr>
      <w:r>
        <w:rPr>
          <w:color w:val="333333"/>
          <w:sz w:val="12"/>
          <w:szCs w:val="12"/>
          <w:shd w:val="clear" w:color="auto" w:fill="FFFFFF"/>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4" w:history="1">
        <w:r>
          <w:rPr>
            <w:rStyle w:val="Hyperlink"/>
            <w:b/>
            <w:bCs/>
            <w:color w:val="426CA7"/>
            <w:sz w:val="12"/>
            <w:szCs w:val="12"/>
            <w:shd w:val="clear" w:color="auto" w:fill="FFFFFF"/>
          </w:rPr>
          <w:t>civilrights@dese.mo.gov</w:t>
        </w:r>
      </w:hyperlink>
      <w:r>
        <w:rPr>
          <w:color w:val="333333"/>
          <w:sz w:val="12"/>
          <w:szCs w:val="12"/>
          <w:shd w:val="clear" w:color="auto" w:fill="FFFFFF"/>
        </w:rPr>
        <w:t xml:space="preserve">.    </w:t>
      </w:r>
    </w:p>
    <w:p w14:paraId="29314B17" w14:textId="77777777" w:rsidR="00FB1577" w:rsidRPr="00E7167D" w:rsidRDefault="00FB1577" w:rsidP="00FB1577">
      <w:pPr>
        <w:pStyle w:val="Default"/>
        <w:spacing w:after="44"/>
        <w:rPr>
          <w:rFonts w:asciiTheme="majorHAnsi" w:hAnsiTheme="majorHAnsi" w:cstheme="majorHAnsi"/>
          <w:sz w:val="22"/>
          <w:szCs w:val="22"/>
          <w:shd w:val="clear" w:color="auto" w:fill="FFFFFF"/>
        </w:rPr>
      </w:pPr>
    </w:p>
    <w:p w14:paraId="2763DBD5" w14:textId="77777777" w:rsidR="00FB1577" w:rsidRPr="00934A60" w:rsidRDefault="00FB1577" w:rsidP="00A53BFB">
      <w:pPr>
        <w:rPr>
          <w:rFonts w:cstheme="minorHAnsi"/>
          <w:b/>
          <w:bCs/>
          <w:sz w:val="24"/>
          <w:szCs w:val="24"/>
        </w:rPr>
      </w:pPr>
    </w:p>
    <w:sectPr w:rsidR="00FB1577" w:rsidRPr="00934A60" w:rsidSect="0034195A">
      <w:pgSz w:w="12240" w:h="15840"/>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1432" w14:textId="77777777" w:rsidR="00A53BFB" w:rsidRDefault="00A53BFB" w:rsidP="00A53BFB">
      <w:pPr>
        <w:spacing w:after="0" w:line="240" w:lineRule="auto"/>
      </w:pPr>
      <w:r>
        <w:separator/>
      </w:r>
    </w:p>
  </w:endnote>
  <w:endnote w:type="continuationSeparator" w:id="0">
    <w:p w14:paraId="0CC9663D" w14:textId="77777777" w:rsidR="00A53BFB" w:rsidRDefault="00A53BFB" w:rsidP="00A53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50CBC" w14:textId="77777777" w:rsidR="00A53BFB" w:rsidRDefault="00A53BFB" w:rsidP="00A53BFB">
      <w:pPr>
        <w:spacing w:after="0" w:line="240" w:lineRule="auto"/>
      </w:pPr>
      <w:r>
        <w:separator/>
      </w:r>
    </w:p>
  </w:footnote>
  <w:footnote w:type="continuationSeparator" w:id="0">
    <w:p w14:paraId="18AC59C5" w14:textId="77777777" w:rsidR="00A53BFB" w:rsidRDefault="00A53BFB" w:rsidP="00A53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0FE"/>
    <w:multiLevelType w:val="hybridMultilevel"/>
    <w:tmpl w:val="3EDA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66B4E"/>
    <w:multiLevelType w:val="hybridMultilevel"/>
    <w:tmpl w:val="DB7E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E46FE"/>
    <w:multiLevelType w:val="hybridMultilevel"/>
    <w:tmpl w:val="786A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F43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9474B9"/>
    <w:multiLevelType w:val="hybridMultilevel"/>
    <w:tmpl w:val="49862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E24C35"/>
    <w:multiLevelType w:val="hybridMultilevel"/>
    <w:tmpl w:val="C5A8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D6E33"/>
    <w:multiLevelType w:val="hybridMultilevel"/>
    <w:tmpl w:val="B0A4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66001"/>
    <w:multiLevelType w:val="hybridMultilevel"/>
    <w:tmpl w:val="92D2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678569">
    <w:abstractNumId w:val="3"/>
  </w:num>
  <w:num w:numId="2" w16cid:durableId="1913464770">
    <w:abstractNumId w:val="0"/>
  </w:num>
  <w:num w:numId="3" w16cid:durableId="1510297115">
    <w:abstractNumId w:val="2"/>
  </w:num>
  <w:num w:numId="4" w16cid:durableId="301346043">
    <w:abstractNumId w:val="6"/>
  </w:num>
  <w:num w:numId="5" w16cid:durableId="613639014">
    <w:abstractNumId w:val="1"/>
  </w:num>
  <w:num w:numId="6" w16cid:durableId="476146861">
    <w:abstractNumId w:val="7"/>
  </w:num>
  <w:num w:numId="7" w16cid:durableId="501093171">
    <w:abstractNumId w:val="5"/>
  </w:num>
  <w:num w:numId="8" w16cid:durableId="153473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7F"/>
    <w:rsid w:val="00000D4E"/>
    <w:rsid w:val="00126AF2"/>
    <w:rsid w:val="001568BF"/>
    <w:rsid w:val="001677AC"/>
    <w:rsid w:val="00234EDF"/>
    <w:rsid w:val="002F42D6"/>
    <w:rsid w:val="00334B46"/>
    <w:rsid w:val="0034195A"/>
    <w:rsid w:val="003B5A42"/>
    <w:rsid w:val="00647555"/>
    <w:rsid w:val="006F1109"/>
    <w:rsid w:val="007B6A41"/>
    <w:rsid w:val="00801EF3"/>
    <w:rsid w:val="00863198"/>
    <w:rsid w:val="00934A60"/>
    <w:rsid w:val="00A53BFB"/>
    <w:rsid w:val="00AE0D4A"/>
    <w:rsid w:val="00BB227F"/>
    <w:rsid w:val="00BC07E5"/>
    <w:rsid w:val="00D1636B"/>
    <w:rsid w:val="00E007C9"/>
    <w:rsid w:val="00E22D4E"/>
    <w:rsid w:val="00E7167D"/>
    <w:rsid w:val="00F85466"/>
    <w:rsid w:val="00FB1577"/>
    <w:rsid w:val="00FF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4DD21"/>
  <w15:chartTrackingRefBased/>
  <w15:docId w15:val="{6B389A63-764F-4131-9C72-4F913D42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27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B227F"/>
    <w:rPr>
      <w:color w:val="0563C1" w:themeColor="hyperlink"/>
      <w:u w:val="single"/>
    </w:rPr>
  </w:style>
  <w:style w:type="character" w:styleId="UnresolvedMention">
    <w:name w:val="Unresolved Mention"/>
    <w:basedOn w:val="DefaultParagraphFont"/>
    <w:uiPriority w:val="99"/>
    <w:semiHidden/>
    <w:unhideWhenUsed/>
    <w:rsid w:val="00BB227F"/>
    <w:rPr>
      <w:color w:val="605E5C"/>
      <w:shd w:val="clear" w:color="auto" w:fill="E1DFDD"/>
    </w:rPr>
  </w:style>
  <w:style w:type="paragraph" w:styleId="Header">
    <w:name w:val="header"/>
    <w:basedOn w:val="Normal"/>
    <w:link w:val="HeaderChar"/>
    <w:uiPriority w:val="99"/>
    <w:unhideWhenUsed/>
    <w:rsid w:val="00A53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BFB"/>
  </w:style>
  <w:style w:type="paragraph" w:styleId="Footer">
    <w:name w:val="footer"/>
    <w:basedOn w:val="Normal"/>
    <w:link w:val="FooterChar"/>
    <w:uiPriority w:val="99"/>
    <w:unhideWhenUsed/>
    <w:rsid w:val="00A53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BFB"/>
  </w:style>
  <w:style w:type="table" w:styleId="TableGrid">
    <w:name w:val="Table Grid"/>
    <w:basedOn w:val="TableNormal"/>
    <w:uiPriority w:val="39"/>
    <w:rsid w:val="00A53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3BFB"/>
    <w:pPr>
      <w:spacing w:after="0" w:line="240" w:lineRule="auto"/>
    </w:pPr>
  </w:style>
  <w:style w:type="paragraph" w:styleId="ListParagraph">
    <w:name w:val="List Paragraph"/>
    <w:basedOn w:val="Normal"/>
    <w:uiPriority w:val="34"/>
    <w:qFormat/>
    <w:rsid w:val="00E7167D"/>
    <w:pPr>
      <w:ind w:left="720"/>
      <w:contextualSpacing/>
    </w:pPr>
  </w:style>
  <w:style w:type="character" w:styleId="FollowedHyperlink">
    <w:name w:val="FollowedHyperlink"/>
    <w:basedOn w:val="DefaultParagraphFont"/>
    <w:uiPriority w:val="99"/>
    <w:semiHidden/>
    <w:unhideWhenUsed/>
    <w:rsid w:val="00334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III/part-300" TargetMode="External"/><Relationship Id="rId13" Type="http://schemas.openxmlformats.org/officeDocument/2006/relationships/hyperlink" Target="https://www.parentcenterhub.org/ide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ransitiont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afileserver-a1.bds.state.mo.us\spe\commonspedata\James%20and%20Tori%20TTI\TTI\Moving%20Your%20Numbers%20provides%20examples%20of%20real%20districts%20that%20are%20positively%20affecting%20the%20performance%20of%20all%20children,%20including%20students%20with%20disabilities,%20through%20a%20collective%20and%20focused%20commitment%20to%20improving%20teaching%20and%20learning%20for%20every%20student%20through%20effective%20data%20use%20and%20changing%20the%20ways%20in%20which%20adults%20across%20the%20system%20work%20and%20learn%20together.%20The%20Key%20Practices%20section%20of%20this%20website%20features%20subpages%20on%20each%20of%20the%20six%20key%20practices%20such%20as%20using%20data%20well,%20focusing%20on%20goals,%20selection%20and%20implementation%20of%20instructional%20practices%20and%20monitoring%20and%20provision%20of%20feedback%20and%20support,%20among%20others%20and%20including%20a%20Key%20Practices%20Gu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s.dese.mo.gov/MCDS/Visualizations.aspx?id=31" TargetMode="External"/><Relationship Id="rId4" Type="http://schemas.openxmlformats.org/officeDocument/2006/relationships/webSettings" Target="webSettings.xml"/><Relationship Id="rId9" Type="http://schemas.openxmlformats.org/officeDocument/2006/relationships/hyperlink" Target="https://sites.ed.gov/idea/files/2022_Part-B_SPP-APR_Measurement_Table.pdf" TargetMode="External"/><Relationship Id="rId14"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Tori</dc:creator>
  <cp:keywords/>
  <dc:description/>
  <cp:lastModifiedBy>Chance, Tori</cp:lastModifiedBy>
  <cp:revision>17</cp:revision>
  <dcterms:created xsi:type="dcterms:W3CDTF">2024-05-30T13:12:00Z</dcterms:created>
  <dcterms:modified xsi:type="dcterms:W3CDTF">2024-06-14T14:03:00Z</dcterms:modified>
</cp:coreProperties>
</file>