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EC6" w:rsidRDefault="00434870">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543561</wp:posOffset>
            </wp:positionH>
            <wp:positionV relativeFrom="paragraph">
              <wp:posOffset>46887</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A62EC6" w:rsidRDefault="00A62EC6">
      <w:pPr>
        <w:pStyle w:val="BodyText"/>
        <w:rPr>
          <w:sz w:val="21"/>
        </w:rPr>
      </w:pPr>
    </w:p>
    <w:p w:rsidR="00A62EC6" w:rsidRDefault="00434870">
      <w:pPr>
        <w:ind w:left="1687"/>
        <w:rPr>
          <w:b/>
        </w:rPr>
      </w:pPr>
      <w:bookmarkStart w:id="0" w:name="SCHOOL_PSYCHOLOGICAL_EXAMINER_GRADES_K-1"/>
      <w:bookmarkEnd w:id="0"/>
      <w:r>
        <w:rPr>
          <w:b/>
        </w:rPr>
        <w:t xml:space="preserve">SCHOOL PSYCHOLOGICAL EXAMINER GRADES K-12 </w:t>
      </w:r>
    </w:p>
    <w:p w:rsidR="00A62EC6" w:rsidRDefault="00A62EC6">
      <w:pPr>
        <w:pStyle w:val="BodyText"/>
        <w:spacing w:after="1"/>
        <w:rPr>
          <w:b/>
          <w:sz w:val="24"/>
        </w:rPr>
      </w:pPr>
    </w:p>
    <w:tbl>
      <w:tblPr>
        <w:tblW w:w="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A62EC6" w:rsidTr="006578E2">
        <w:trPr>
          <w:trHeight w:hRule="exact" w:val="461"/>
        </w:trPr>
        <w:tc>
          <w:tcPr>
            <w:tcW w:w="6130" w:type="dxa"/>
            <w:gridSpan w:val="2"/>
            <w:tcBorders>
              <w:bottom w:val="single" w:sz="10" w:space="0" w:color="000000"/>
            </w:tcBorders>
          </w:tcPr>
          <w:p w:rsidR="00434870" w:rsidRDefault="00434870">
            <w:pPr>
              <w:pStyle w:val="TableParagraph"/>
              <w:spacing w:before="12"/>
              <w:ind w:left="110"/>
              <w:rPr>
                <w:sz w:val="12"/>
              </w:rPr>
            </w:pPr>
            <w:r>
              <w:rPr>
                <w:sz w:val="12"/>
              </w:rPr>
              <w:t>EDUCATOR PREPARATION PROGRAM NAME</w:t>
            </w:r>
          </w:p>
          <w:p w:rsidR="00A62EC6" w:rsidRPr="00434870" w:rsidRDefault="00A62EC6" w:rsidP="006578E2">
            <w:pPr>
              <w:ind w:left="255"/>
            </w:pPr>
            <w:bookmarkStart w:id="1" w:name="_GoBack"/>
            <w:bookmarkEnd w:id="1"/>
          </w:p>
        </w:tc>
        <w:tc>
          <w:tcPr>
            <w:tcW w:w="4795" w:type="dxa"/>
            <w:gridSpan w:val="2"/>
            <w:tcBorders>
              <w:bottom w:val="single" w:sz="10" w:space="0" w:color="000000"/>
              <w:right w:val="single" w:sz="5" w:space="0" w:color="000000"/>
            </w:tcBorders>
          </w:tcPr>
          <w:p w:rsidR="00434870" w:rsidRDefault="00434870">
            <w:pPr>
              <w:pStyle w:val="TableParagraph"/>
              <w:spacing w:before="12"/>
              <w:ind w:left="110"/>
              <w:rPr>
                <w:sz w:val="12"/>
              </w:rPr>
            </w:pPr>
            <w:r>
              <w:rPr>
                <w:sz w:val="12"/>
              </w:rPr>
              <w:t>EDUCATOR PREPARATION PROGRAM CODE</w:t>
            </w:r>
          </w:p>
          <w:p w:rsidR="00A62EC6" w:rsidRPr="00434870" w:rsidRDefault="00A62EC6" w:rsidP="006578E2">
            <w:pPr>
              <w:ind w:left="240"/>
            </w:pPr>
          </w:p>
        </w:tc>
      </w:tr>
      <w:tr w:rsidR="00A62EC6" w:rsidTr="006578E2">
        <w:trPr>
          <w:trHeight w:hRule="exact" w:val="302"/>
        </w:trPr>
        <w:tc>
          <w:tcPr>
            <w:tcW w:w="10925" w:type="dxa"/>
            <w:gridSpan w:val="4"/>
            <w:tcBorders>
              <w:top w:val="nil"/>
              <w:left w:val="nil"/>
              <w:bottom w:val="nil"/>
              <w:right w:val="nil"/>
            </w:tcBorders>
            <w:shd w:val="clear" w:color="auto" w:fill="000000"/>
          </w:tcPr>
          <w:p w:rsidR="00A62EC6" w:rsidRDefault="00434870">
            <w:pPr>
              <w:pStyle w:val="TableParagraph"/>
              <w:spacing w:before="8"/>
              <w:ind w:left="115"/>
              <w:rPr>
                <w:b/>
                <w:sz w:val="18"/>
              </w:rPr>
            </w:pPr>
            <w:r>
              <w:rPr>
                <w:b/>
                <w:color w:val="FFFFFF"/>
                <w:sz w:val="18"/>
              </w:rPr>
              <w:t>INSTRUCTIONS</w:t>
            </w:r>
          </w:p>
        </w:tc>
      </w:tr>
      <w:tr w:rsidR="00A62EC6" w:rsidTr="006578E2">
        <w:trPr>
          <w:trHeight w:hRule="exact" w:val="3377"/>
        </w:trPr>
        <w:tc>
          <w:tcPr>
            <w:tcW w:w="10925" w:type="dxa"/>
            <w:gridSpan w:val="4"/>
            <w:tcBorders>
              <w:right w:val="single" w:sz="5" w:space="0" w:color="000000"/>
            </w:tcBorders>
          </w:tcPr>
          <w:p w:rsidR="00A62EC6" w:rsidRDefault="00434870">
            <w:pPr>
              <w:pStyle w:val="TableParagraph"/>
              <w:spacing w:before="18"/>
              <w:ind w:left="110"/>
              <w:rPr>
                <w:sz w:val="18"/>
              </w:rPr>
            </w:pPr>
            <w:r>
              <w:rPr>
                <w:sz w:val="18"/>
              </w:rPr>
              <w:t>Please complete Educator Preparation Program (EPP) Name &amp; EPP Code above.</w:t>
            </w:r>
          </w:p>
          <w:p w:rsidR="00A62EC6" w:rsidRDefault="00A62EC6">
            <w:pPr>
              <w:pStyle w:val="TableParagraph"/>
              <w:spacing w:before="10"/>
              <w:ind w:left="0"/>
              <w:rPr>
                <w:b/>
                <w:sz w:val="17"/>
              </w:rPr>
            </w:pPr>
          </w:p>
          <w:p w:rsidR="00A62EC6" w:rsidRDefault="00434870">
            <w:pPr>
              <w:pStyle w:val="TableParagraph"/>
              <w:ind w:left="110"/>
              <w:rPr>
                <w:sz w:val="18"/>
              </w:rPr>
            </w:pPr>
            <w:r>
              <w:rPr>
                <w:sz w:val="18"/>
              </w:rPr>
              <w:t>Certification Requirements</w:t>
            </w:r>
          </w:p>
          <w:p w:rsidR="00A62EC6" w:rsidRDefault="00434870">
            <w:pPr>
              <w:pStyle w:val="TableParagraph"/>
              <w:numPr>
                <w:ilvl w:val="0"/>
                <w:numId w:val="1"/>
              </w:numPr>
              <w:tabs>
                <w:tab w:val="left" w:pos="830"/>
                <w:tab w:val="left" w:pos="831"/>
              </w:tabs>
              <w:spacing w:before="1"/>
              <w:ind w:right="114"/>
              <w:rPr>
                <w:sz w:val="18"/>
              </w:rPr>
            </w:pPr>
            <w:r>
              <w:rPr>
                <w:sz w:val="18"/>
              </w:rPr>
              <w:t>Course Number – List the course number(s) for the course(s) or groups of competencies that align with the specific section of the requirements.  It is possible to have more than one course or group</w:t>
            </w:r>
            <w:r>
              <w:rPr>
                <w:spacing w:val="-31"/>
                <w:sz w:val="18"/>
              </w:rPr>
              <w:t xml:space="preserve"> </w:t>
            </w:r>
            <w:r>
              <w:rPr>
                <w:sz w:val="18"/>
              </w:rPr>
              <w:t>listed.</w:t>
            </w:r>
          </w:p>
          <w:p w:rsidR="00A62EC6" w:rsidRDefault="00434870">
            <w:pPr>
              <w:pStyle w:val="TableParagraph"/>
              <w:numPr>
                <w:ilvl w:val="0"/>
                <w:numId w:val="1"/>
              </w:numPr>
              <w:tabs>
                <w:tab w:val="left" w:pos="830"/>
                <w:tab w:val="left" w:pos="831"/>
              </w:tabs>
              <w:ind w:right="447"/>
              <w:rPr>
                <w:sz w:val="18"/>
              </w:rPr>
            </w:pPr>
            <w:r>
              <w:rPr>
                <w:sz w:val="18"/>
              </w:rPr>
              <w:t>Course Title – List the course title(s) for the course(s) or groups of competencies that align with the specific section of the requirements.  It is possible to have more than one course or group</w:t>
            </w:r>
            <w:r>
              <w:rPr>
                <w:spacing w:val="-29"/>
                <w:sz w:val="18"/>
              </w:rPr>
              <w:t xml:space="preserve"> </w:t>
            </w:r>
            <w:r>
              <w:rPr>
                <w:sz w:val="18"/>
              </w:rPr>
              <w:t>listed.</w:t>
            </w:r>
          </w:p>
          <w:p w:rsidR="00A62EC6" w:rsidRDefault="00434870">
            <w:pPr>
              <w:pStyle w:val="TableParagraph"/>
              <w:numPr>
                <w:ilvl w:val="0"/>
                <w:numId w:val="1"/>
              </w:numPr>
              <w:tabs>
                <w:tab w:val="left" w:pos="830"/>
                <w:tab w:val="left" w:pos="831"/>
              </w:tabs>
              <w:spacing w:before="3"/>
              <w:ind w:right="222"/>
              <w:rPr>
                <w:sz w:val="18"/>
              </w:rPr>
            </w:pPr>
            <w:r>
              <w:rPr>
                <w:sz w:val="18"/>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17"/>
                <w:sz w:val="18"/>
              </w:rPr>
              <w:t xml:space="preserve"> </w:t>
            </w:r>
            <w:r>
              <w:rPr>
                <w:sz w:val="18"/>
              </w:rPr>
              <w:t>hours.</w:t>
            </w:r>
          </w:p>
          <w:p w:rsidR="00A62EC6" w:rsidRDefault="00A62EC6">
            <w:pPr>
              <w:pStyle w:val="TableParagraph"/>
              <w:spacing w:before="1"/>
              <w:ind w:left="0"/>
              <w:rPr>
                <w:b/>
                <w:sz w:val="18"/>
              </w:rPr>
            </w:pPr>
          </w:p>
          <w:p w:rsidR="00A62EC6" w:rsidRDefault="00434870">
            <w:pPr>
              <w:pStyle w:val="TableParagraph"/>
              <w:ind w:left="110" w:right="276"/>
              <w:rPr>
                <w:sz w:val="18"/>
              </w:rPr>
            </w:pPr>
            <w:r>
              <w:rPr>
                <w:sz w:val="18"/>
              </w:rPr>
              <w:t xml:space="preserve">Email the completed cover sheet, curriculum matrix, and advising/program information to </w:t>
            </w:r>
            <w:hyperlink r:id="rId8">
              <w:r>
                <w:rPr>
                  <w:color w:val="0000FF"/>
                  <w:sz w:val="18"/>
                  <w:u w:val="single" w:color="0000FF"/>
                </w:rPr>
                <w:t xml:space="preserve">DESE.MoSPETransition@dese.mo.gov </w:t>
              </w:r>
            </w:hyperlink>
            <w:r>
              <w:rPr>
                <w:sz w:val="18"/>
              </w:rPr>
              <w:t>on or before the date established in the Transition Plan.</w:t>
            </w:r>
          </w:p>
          <w:p w:rsidR="00A62EC6" w:rsidRDefault="00A62EC6">
            <w:pPr>
              <w:pStyle w:val="TableParagraph"/>
              <w:spacing w:before="10"/>
              <w:ind w:left="0"/>
              <w:rPr>
                <w:b/>
                <w:sz w:val="17"/>
              </w:rPr>
            </w:pPr>
          </w:p>
          <w:p w:rsidR="00A62EC6" w:rsidRDefault="00434870">
            <w:pPr>
              <w:pStyle w:val="TableParagraph"/>
              <w:ind w:left="110"/>
              <w:rPr>
                <w:sz w:val="18"/>
              </w:rPr>
            </w:pPr>
            <w:r>
              <w:rPr>
                <w:sz w:val="18"/>
              </w:rPr>
              <w:t xml:space="preserve">QUESTIONS: Contact Educator Preparation, 573-751-1668 or </w:t>
            </w:r>
            <w:hyperlink r:id="rId9">
              <w:r>
                <w:rPr>
                  <w:color w:val="0000FF"/>
                  <w:sz w:val="18"/>
                  <w:u w:val="single" w:color="0000FF"/>
                </w:rPr>
                <w:t>DESE.MoSPETransition@dese.mo.gov</w:t>
              </w:r>
            </w:hyperlink>
          </w:p>
        </w:tc>
      </w:tr>
      <w:tr w:rsidR="00A62EC6" w:rsidTr="006578E2">
        <w:trPr>
          <w:trHeight w:hRule="exact" w:val="220"/>
        </w:trPr>
        <w:tc>
          <w:tcPr>
            <w:tcW w:w="10925" w:type="dxa"/>
            <w:gridSpan w:val="4"/>
            <w:tcBorders>
              <w:left w:val="single" w:sz="6" w:space="0" w:color="000000"/>
              <w:bottom w:val="single" w:sz="6" w:space="0" w:color="000000"/>
              <w:right w:val="single" w:sz="6" w:space="0" w:color="000000"/>
            </w:tcBorders>
            <w:shd w:val="clear" w:color="auto" w:fill="DADADA"/>
          </w:tcPr>
          <w:p w:rsidR="00A62EC6" w:rsidRDefault="00434870">
            <w:pPr>
              <w:pStyle w:val="TableParagraph"/>
              <w:spacing w:line="201" w:lineRule="exact"/>
              <w:ind w:left="100"/>
              <w:rPr>
                <w:b/>
                <w:sz w:val="18"/>
              </w:rPr>
            </w:pPr>
            <w:r>
              <w:rPr>
                <w:b/>
                <w:sz w:val="18"/>
              </w:rPr>
              <w:t>A.   Professional Requirements (Minimum of 24 semester hours at the graduate level)</w:t>
            </w:r>
          </w:p>
        </w:tc>
      </w:tr>
      <w:tr w:rsidR="00A62EC6" w:rsidTr="006578E2">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A62EC6" w:rsidRDefault="00434870">
            <w:pPr>
              <w:pStyle w:val="TableParagraph"/>
              <w:tabs>
                <w:tab w:val="left" w:pos="811"/>
              </w:tabs>
              <w:ind w:left="451"/>
              <w:rPr>
                <w:sz w:val="18"/>
              </w:rPr>
            </w:pPr>
            <w:r>
              <w:rPr>
                <w:sz w:val="18"/>
              </w:rPr>
              <w:t>1.</w:t>
            </w:r>
            <w:r>
              <w:rPr>
                <w:sz w:val="18"/>
              </w:rPr>
              <w:tab/>
              <w:t>Course</w:t>
            </w:r>
            <w:r>
              <w:rPr>
                <w:spacing w:val="-6"/>
                <w:sz w:val="18"/>
              </w:rPr>
              <w:t xml:space="preserve"> </w:t>
            </w:r>
            <w:r>
              <w:rPr>
                <w:sz w:val="18"/>
              </w:rPr>
              <w:t>Areas:</w:t>
            </w:r>
          </w:p>
        </w:tc>
      </w:tr>
      <w:tr w:rsidR="00A62EC6" w:rsidTr="006578E2">
        <w:trPr>
          <w:trHeight w:hRule="exact" w:val="382"/>
        </w:trPr>
        <w:tc>
          <w:tcPr>
            <w:tcW w:w="4452" w:type="dxa"/>
            <w:tcBorders>
              <w:top w:val="single" w:sz="6" w:space="0" w:color="000000"/>
              <w:bottom w:val="single" w:sz="6" w:space="0" w:color="000000"/>
            </w:tcBorders>
            <w:shd w:val="clear" w:color="auto" w:fill="DADADA"/>
          </w:tcPr>
          <w:p w:rsidR="00A62EC6" w:rsidRDefault="00A62EC6"/>
        </w:tc>
        <w:tc>
          <w:tcPr>
            <w:tcW w:w="1678" w:type="dxa"/>
            <w:tcBorders>
              <w:top w:val="single" w:sz="6" w:space="0" w:color="000000"/>
              <w:bottom w:val="single" w:sz="6" w:space="0" w:color="000000"/>
            </w:tcBorders>
            <w:shd w:val="clear" w:color="auto" w:fill="DADADA"/>
          </w:tcPr>
          <w:p w:rsidR="00A62EC6" w:rsidRDefault="00434870">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A62EC6" w:rsidRDefault="00434870">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A62EC6" w:rsidRDefault="00434870">
            <w:pPr>
              <w:pStyle w:val="TableParagraph"/>
              <w:ind w:left="451" w:right="304" w:hanging="130"/>
              <w:rPr>
                <w:b/>
                <w:sz w:val="16"/>
              </w:rPr>
            </w:pPr>
            <w:r>
              <w:rPr>
                <w:b/>
                <w:sz w:val="16"/>
              </w:rPr>
              <w:t>Semester Hours</w:t>
            </w: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ind w:right="391" w:hanging="360"/>
              <w:rPr>
                <w:sz w:val="16"/>
              </w:rPr>
            </w:pPr>
            <w:r>
              <w:rPr>
                <w:sz w:val="16"/>
              </w:rPr>
              <w:t>a.</w:t>
            </w:r>
            <w:r>
              <w:rPr>
                <w:sz w:val="16"/>
              </w:rPr>
              <w:tab/>
              <w:t>Psychological</w:t>
            </w:r>
            <w:r>
              <w:rPr>
                <w:spacing w:val="-6"/>
                <w:sz w:val="16"/>
              </w:rPr>
              <w:t xml:space="preserve"> </w:t>
            </w:r>
            <w:r>
              <w:rPr>
                <w:sz w:val="16"/>
              </w:rPr>
              <w:t>Development:</w:t>
            </w:r>
            <w:r>
              <w:rPr>
                <w:spacing w:val="-6"/>
                <w:sz w:val="16"/>
              </w:rPr>
              <w:t xml:space="preserve"> </w:t>
            </w:r>
            <w:r>
              <w:rPr>
                <w:sz w:val="16"/>
              </w:rPr>
              <w:t>Child, Adolescent, or Development</w:t>
            </w:r>
            <w:r>
              <w:rPr>
                <w:spacing w:val="-14"/>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spacing w:line="180" w:lineRule="exact"/>
              <w:ind w:left="811"/>
              <w:rPr>
                <w:sz w:val="16"/>
              </w:rPr>
            </w:pPr>
            <w:r>
              <w:rPr>
                <w:sz w:val="16"/>
              </w:rPr>
              <w:t>b.</w:t>
            </w:r>
            <w:r>
              <w:rPr>
                <w:sz w:val="16"/>
              </w:rPr>
              <w:tab/>
              <w:t>Psychology of</w:t>
            </w:r>
            <w:r>
              <w:rPr>
                <w:spacing w:val="-7"/>
                <w:sz w:val="16"/>
              </w:rPr>
              <w:t xml:space="preserve"> </w:t>
            </w:r>
            <w:r>
              <w:rPr>
                <w:sz w:val="16"/>
              </w:rPr>
              <w:t>Education</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spacing w:line="183" w:lineRule="exact"/>
              <w:ind w:left="811"/>
              <w:rPr>
                <w:sz w:val="16"/>
              </w:rPr>
            </w:pPr>
            <w:r>
              <w:rPr>
                <w:sz w:val="16"/>
              </w:rPr>
              <w:t>c.</w:t>
            </w:r>
            <w:r>
              <w:rPr>
                <w:sz w:val="16"/>
              </w:rPr>
              <w:tab/>
              <w:t>Statistical</w:t>
            </w:r>
            <w:r>
              <w:rPr>
                <w:spacing w:val="-8"/>
                <w:sz w:val="16"/>
              </w:rPr>
              <w:t xml:space="preserve"> </w:t>
            </w:r>
            <w:r>
              <w:rPr>
                <w:sz w:val="16"/>
              </w:rPr>
              <w:t>Methods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rsidP="0050732A">
            <w:pPr>
              <w:pStyle w:val="TableParagraph"/>
              <w:tabs>
                <w:tab w:val="left" w:pos="1171"/>
              </w:tabs>
              <w:ind w:right="923" w:hanging="360"/>
              <w:rPr>
                <w:sz w:val="16"/>
              </w:rPr>
            </w:pPr>
            <w:r>
              <w:rPr>
                <w:sz w:val="16"/>
              </w:rPr>
              <w:t>d.</w:t>
            </w:r>
            <w:r>
              <w:rPr>
                <w:sz w:val="16"/>
              </w:rPr>
              <w:tab/>
              <w:t>Psychology</w:t>
            </w:r>
            <w:r>
              <w:rPr>
                <w:spacing w:val="-3"/>
                <w:sz w:val="16"/>
              </w:rPr>
              <w:t xml:space="preserve"> </w:t>
            </w:r>
            <w:r>
              <w:rPr>
                <w:sz w:val="16"/>
              </w:rPr>
              <w:t>of</w:t>
            </w:r>
            <w:r>
              <w:rPr>
                <w:spacing w:val="-1"/>
                <w:sz w:val="16"/>
              </w:rPr>
              <w:t xml:space="preserve"> </w:t>
            </w:r>
            <w:r>
              <w:rPr>
                <w:sz w:val="16"/>
              </w:rPr>
              <w:t>Personality</w:t>
            </w:r>
            <w:r w:rsidR="0050732A">
              <w:rPr>
                <w:sz w:val="16"/>
              </w:rPr>
              <w:t xml:space="preserve"> or Psychodiagnostics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ind w:right="291" w:hanging="360"/>
              <w:rPr>
                <w:sz w:val="16"/>
              </w:rPr>
            </w:pPr>
            <w:r>
              <w:rPr>
                <w:sz w:val="16"/>
              </w:rPr>
              <w:t>e.</w:t>
            </w:r>
            <w:r>
              <w:rPr>
                <w:sz w:val="16"/>
              </w:rPr>
              <w:tab/>
              <w:t>Psychological Tests and Measures</w:t>
            </w:r>
            <w:r>
              <w:rPr>
                <w:spacing w:val="-9"/>
                <w:sz w:val="16"/>
              </w:rPr>
              <w:t xml:space="preserve"> </w:t>
            </w:r>
            <w:r>
              <w:rPr>
                <w:sz w:val="16"/>
              </w:rPr>
              <w:t>for</w:t>
            </w:r>
            <w:r>
              <w:rPr>
                <w:spacing w:val="-2"/>
                <w:sz w:val="16"/>
              </w:rPr>
              <w:t xml:space="preserve"> </w:t>
            </w:r>
            <w:r>
              <w:rPr>
                <w:sz w:val="16"/>
              </w:rPr>
              <w:t>the</w:t>
            </w:r>
            <w:r>
              <w:rPr>
                <w:spacing w:val="-1"/>
                <w:sz w:val="16"/>
              </w:rPr>
              <w:t xml:space="preserve"> </w:t>
            </w:r>
            <w:r>
              <w:rPr>
                <w:sz w:val="16"/>
              </w:rPr>
              <w:t>Analysis of Student</w:t>
            </w:r>
            <w:r>
              <w:rPr>
                <w:spacing w:val="-11"/>
                <w:sz w:val="16"/>
              </w:rPr>
              <w:t xml:space="preserve"> </w:t>
            </w:r>
            <w:r>
              <w:rPr>
                <w:sz w:val="16"/>
              </w:rPr>
              <w:t>Performance</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spacing w:line="180" w:lineRule="exact"/>
              <w:ind w:left="811"/>
              <w:rPr>
                <w:sz w:val="16"/>
              </w:rPr>
            </w:pPr>
            <w:r>
              <w:rPr>
                <w:sz w:val="16"/>
              </w:rPr>
              <w:t>f.</w:t>
            </w:r>
            <w:r>
              <w:rPr>
                <w:sz w:val="16"/>
              </w:rPr>
              <w:tab/>
              <w:t>Individual Intelligence</w:t>
            </w:r>
            <w:r>
              <w:rPr>
                <w:spacing w:val="-9"/>
                <w:sz w:val="16"/>
              </w:rPr>
              <w:t xml:space="preserve"> </w:t>
            </w:r>
            <w:r>
              <w:rPr>
                <w:sz w:val="16"/>
              </w:rPr>
              <w:t>Tests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val="20"/>
        </w:trPr>
        <w:tc>
          <w:tcPr>
            <w:tcW w:w="4452" w:type="dxa"/>
            <w:tcBorders>
              <w:top w:val="single" w:sz="6" w:space="0" w:color="000000"/>
              <w:left w:val="single" w:sz="6" w:space="0" w:color="000000"/>
              <w:bottom w:val="single" w:sz="6" w:space="0" w:color="000000"/>
              <w:right w:val="single" w:sz="6" w:space="0" w:color="000000"/>
            </w:tcBorders>
          </w:tcPr>
          <w:p w:rsidR="00A62EC6" w:rsidRDefault="00434870" w:rsidP="007222C0">
            <w:pPr>
              <w:pStyle w:val="TableParagraph"/>
              <w:tabs>
                <w:tab w:val="left" w:pos="1171"/>
              </w:tabs>
              <w:ind w:right="165" w:hanging="360"/>
              <w:rPr>
                <w:sz w:val="16"/>
              </w:rPr>
            </w:pPr>
            <w:r>
              <w:rPr>
                <w:sz w:val="16"/>
              </w:rPr>
              <w:t>g.</w:t>
            </w:r>
            <w:r>
              <w:rPr>
                <w:sz w:val="16"/>
              </w:rPr>
              <w:tab/>
              <w:t>Individual Diagnostic</w:t>
            </w:r>
            <w:r>
              <w:rPr>
                <w:spacing w:val="-12"/>
                <w:sz w:val="16"/>
              </w:rPr>
              <w:t xml:space="preserve"> </w:t>
            </w:r>
            <w:r>
              <w:rPr>
                <w:sz w:val="16"/>
              </w:rPr>
              <w:t>Assessment</w:t>
            </w:r>
            <w:r w:rsidR="0050732A">
              <w:rPr>
                <w:sz w:val="16"/>
              </w:rPr>
              <w:t xml:space="preserve">s </w:t>
            </w:r>
            <w:r>
              <w:rPr>
                <w:spacing w:val="-5"/>
                <w:sz w:val="16"/>
              </w:rPr>
              <w:t xml:space="preserve"> </w:t>
            </w:r>
            <w:r>
              <w:rPr>
                <w:sz w:val="16"/>
              </w:rPr>
              <w:t>(other</w:t>
            </w:r>
            <w:r>
              <w:rPr>
                <w:spacing w:val="-1"/>
                <w:sz w:val="16"/>
              </w:rPr>
              <w:t xml:space="preserve"> </w:t>
            </w:r>
            <w:r>
              <w:rPr>
                <w:sz w:val="16"/>
              </w:rPr>
              <w:t xml:space="preserve">than </w:t>
            </w:r>
            <w:r w:rsidR="007222C0">
              <w:rPr>
                <w:sz w:val="16"/>
              </w:rPr>
              <w:t xml:space="preserve">the </w:t>
            </w:r>
            <w:r>
              <w:rPr>
                <w:sz w:val="16"/>
              </w:rPr>
              <w:t>Wechsler Scale</w:t>
            </w:r>
            <w:r w:rsidR="007222C0">
              <w:rPr>
                <w:sz w:val="16"/>
              </w:rPr>
              <w:t>s</w:t>
            </w:r>
            <w:r>
              <w:rPr>
                <w:sz w:val="16"/>
              </w:rPr>
              <w:t xml:space="preserve"> and the Stanford-</w:t>
            </w:r>
            <w:proofErr w:type="spellStart"/>
            <w:r>
              <w:rPr>
                <w:sz w:val="16"/>
              </w:rPr>
              <w:t>Binet</w:t>
            </w:r>
            <w:proofErr w:type="spellEnd"/>
            <w:r>
              <w:rPr>
                <w:sz w:val="16"/>
              </w:rPr>
              <w:t xml:space="preserve"> Intelligence Scale)</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rPr>
          <w:trHeight w:hRule="exact" w:val="221"/>
        </w:trPr>
        <w:tc>
          <w:tcPr>
            <w:tcW w:w="9550" w:type="dxa"/>
            <w:gridSpan w:val="3"/>
            <w:tcBorders>
              <w:top w:val="single" w:sz="6" w:space="0" w:color="000000"/>
              <w:left w:val="single" w:sz="6" w:space="0" w:color="000000"/>
              <w:bottom w:val="single" w:sz="6" w:space="0" w:color="000000"/>
              <w:right w:val="single" w:sz="6" w:space="0" w:color="000000"/>
            </w:tcBorders>
          </w:tcPr>
          <w:p w:rsidR="00A62EC6" w:rsidRDefault="00434870">
            <w:pPr>
              <w:pStyle w:val="TableParagraph"/>
              <w:spacing w:line="201" w:lineRule="exact"/>
              <w:ind w:left="5083"/>
              <w:rPr>
                <w:b/>
                <w:sz w:val="18"/>
              </w:rPr>
            </w:pPr>
            <w:r>
              <w:rPr>
                <w:b/>
                <w:sz w:val="18"/>
              </w:rPr>
              <w:t>Professional Requirements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A62EC6" w:rsidRPr="006578E2" w:rsidRDefault="00A62EC6" w:rsidP="00434870">
            <w:pPr>
              <w:jc w:val="center"/>
              <w:rPr>
                <w:b/>
                <w:sz w:val="20"/>
              </w:rPr>
            </w:pPr>
          </w:p>
        </w:tc>
      </w:tr>
      <w:tr w:rsidR="00A62EC6" w:rsidTr="006578E2">
        <w:trPr>
          <w:trHeight w:hRule="exact" w:val="223"/>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A62EC6" w:rsidRDefault="00434870">
            <w:pPr>
              <w:pStyle w:val="TableParagraph"/>
              <w:spacing w:line="201" w:lineRule="exact"/>
              <w:ind w:left="100"/>
              <w:rPr>
                <w:b/>
                <w:sz w:val="18"/>
              </w:rPr>
            </w:pPr>
            <w:r>
              <w:rPr>
                <w:b/>
                <w:sz w:val="18"/>
              </w:rPr>
              <w:t>B.   Competencies</w:t>
            </w:r>
          </w:p>
        </w:tc>
      </w:tr>
      <w:tr w:rsidR="00A62EC6" w:rsidTr="006578E2">
        <w:trPr>
          <w:trHeight w:hRule="exact" w:val="382"/>
        </w:trPr>
        <w:tc>
          <w:tcPr>
            <w:tcW w:w="4452" w:type="dxa"/>
            <w:tcBorders>
              <w:top w:val="single" w:sz="6" w:space="0" w:color="000000"/>
              <w:bottom w:val="single" w:sz="6" w:space="0" w:color="000000"/>
            </w:tcBorders>
            <w:shd w:val="clear" w:color="auto" w:fill="DADADA"/>
          </w:tcPr>
          <w:p w:rsidR="00A62EC6" w:rsidRDefault="00A62EC6"/>
        </w:tc>
        <w:tc>
          <w:tcPr>
            <w:tcW w:w="1678" w:type="dxa"/>
            <w:tcBorders>
              <w:top w:val="single" w:sz="6" w:space="0" w:color="000000"/>
              <w:bottom w:val="single" w:sz="6" w:space="0" w:color="000000"/>
            </w:tcBorders>
            <w:shd w:val="clear" w:color="auto" w:fill="DADADA"/>
          </w:tcPr>
          <w:p w:rsidR="00A62EC6" w:rsidRDefault="00434870">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A62EC6" w:rsidRDefault="00434870">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A62EC6" w:rsidRDefault="00434870">
            <w:pPr>
              <w:pStyle w:val="TableParagraph"/>
              <w:ind w:left="451" w:right="304" w:hanging="130"/>
              <w:rPr>
                <w:b/>
                <w:sz w:val="16"/>
              </w:rPr>
            </w:pPr>
            <w:r>
              <w:rPr>
                <w:b/>
                <w:sz w:val="16"/>
              </w:rPr>
              <w:t>Semester Hours</w:t>
            </w: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ind w:right="116" w:hanging="360"/>
              <w:rPr>
                <w:sz w:val="16"/>
              </w:rPr>
            </w:pPr>
            <w:r>
              <w:rPr>
                <w:sz w:val="16"/>
              </w:rPr>
              <w:t>a.</w:t>
            </w:r>
            <w:r>
              <w:rPr>
                <w:sz w:val="16"/>
              </w:rPr>
              <w:tab/>
            </w:r>
            <w:r w:rsidR="0050732A">
              <w:rPr>
                <w:sz w:val="16"/>
              </w:rPr>
              <w:t xml:space="preserve">Applying </w:t>
            </w:r>
            <w:r>
              <w:rPr>
                <w:sz w:val="16"/>
              </w:rPr>
              <w:t>Methods and/or Techniques</w:t>
            </w:r>
            <w:r>
              <w:rPr>
                <w:spacing w:val="-10"/>
                <w:sz w:val="16"/>
              </w:rPr>
              <w:t xml:space="preserve"> </w:t>
            </w:r>
            <w:r>
              <w:rPr>
                <w:sz w:val="16"/>
              </w:rPr>
              <w:t>of</w:t>
            </w:r>
            <w:r>
              <w:rPr>
                <w:spacing w:val="-6"/>
                <w:sz w:val="16"/>
              </w:rPr>
              <w:t xml:space="preserve"> </w:t>
            </w:r>
            <w:r>
              <w:rPr>
                <w:sz w:val="16"/>
              </w:rPr>
              <w:t>Interpretation</w:t>
            </w:r>
            <w:r>
              <w:rPr>
                <w:spacing w:val="-1"/>
                <w:sz w:val="16"/>
              </w:rPr>
              <w:t xml:space="preserve"> </w:t>
            </w:r>
            <w:r>
              <w:rPr>
                <w:sz w:val="16"/>
              </w:rPr>
              <w:t>of</w:t>
            </w:r>
            <w:r>
              <w:rPr>
                <w:spacing w:val="-1"/>
                <w:sz w:val="16"/>
              </w:rPr>
              <w:t xml:space="preserve"> </w:t>
            </w:r>
            <w:r>
              <w:rPr>
                <w:sz w:val="16"/>
              </w:rPr>
              <w:t>Tests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434870" w:rsidP="0050732A">
            <w:pPr>
              <w:pStyle w:val="TableParagraph"/>
              <w:tabs>
                <w:tab w:val="left" w:pos="1171"/>
              </w:tabs>
              <w:ind w:right="151" w:hanging="360"/>
              <w:rPr>
                <w:sz w:val="16"/>
              </w:rPr>
            </w:pPr>
            <w:r>
              <w:rPr>
                <w:sz w:val="16"/>
              </w:rPr>
              <w:t>b.</w:t>
            </w:r>
            <w:r>
              <w:rPr>
                <w:sz w:val="16"/>
              </w:rPr>
              <w:tab/>
            </w:r>
            <w:r w:rsidR="0050732A">
              <w:rPr>
                <w:sz w:val="16"/>
              </w:rPr>
              <w:t>Analyzing and Identifying Differences to include tiered systems for supporting instruction and behavior</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50732A" w:rsidP="0050732A">
            <w:pPr>
              <w:pStyle w:val="TableParagraph"/>
              <w:tabs>
                <w:tab w:val="left" w:pos="1171"/>
              </w:tabs>
              <w:ind w:right="586" w:hanging="360"/>
              <w:rPr>
                <w:sz w:val="16"/>
              </w:rPr>
            </w:pPr>
            <w:r>
              <w:rPr>
                <w:sz w:val="16"/>
              </w:rPr>
              <w:t>c.</w:t>
            </w:r>
            <w:r>
              <w:rPr>
                <w:sz w:val="16"/>
              </w:rPr>
              <w:tab/>
              <w:t xml:space="preserve">Interpreting </w:t>
            </w:r>
            <w:r w:rsidR="00434870">
              <w:rPr>
                <w:sz w:val="16"/>
              </w:rPr>
              <w:t xml:space="preserve"> Formal</w:t>
            </w:r>
            <w:r w:rsidR="00434870">
              <w:rPr>
                <w:spacing w:val="-11"/>
                <w:sz w:val="16"/>
              </w:rPr>
              <w:t xml:space="preserve"> </w:t>
            </w:r>
            <w:r w:rsidR="00434870">
              <w:rPr>
                <w:sz w:val="16"/>
              </w:rPr>
              <w:t>and</w:t>
            </w:r>
            <w:r w:rsidR="00434870">
              <w:rPr>
                <w:spacing w:val="-3"/>
                <w:sz w:val="16"/>
              </w:rPr>
              <w:t xml:space="preserve"> </w:t>
            </w:r>
            <w:r w:rsidR="00434870">
              <w:rPr>
                <w:sz w:val="16"/>
              </w:rPr>
              <w:t xml:space="preserve">Informal Diagnostic Assessments </w:t>
            </w:r>
            <w:r>
              <w:rPr>
                <w:sz w:val="16"/>
              </w:rPr>
              <w:t>and Applying Guide to Interventions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434870" w:rsidP="0050732A">
            <w:pPr>
              <w:pStyle w:val="TableParagraph"/>
              <w:tabs>
                <w:tab w:val="left" w:pos="1171"/>
              </w:tabs>
              <w:ind w:right="204" w:hanging="360"/>
              <w:rPr>
                <w:sz w:val="16"/>
              </w:rPr>
            </w:pPr>
            <w:r>
              <w:rPr>
                <w:sz w:val="16"/>
              </w:rPr>
              <w:t>d.</w:t>
            </w:r>
            <w:r>
              <w:rPr>
                <w:sz w:val="16"/>
              </w:rPr>
              <w:tab/>
              <w:t>Utilization of Knowledge</w:t>
            </w:r>
            <w:r>
              <w:rPr>
                <w:spacing w:val="-13"/>
                <w:sz w:val="16"/>
              </w:rPr>
              <w:t xml:space="preserve"> </w:t>
            </w:r>
            <w:r>
              <w:rPr>
                <w:sz w:val="16"/>
              </w:rPr>
              <w:t>of</w:t>
            </w:r>
            <w:r>
              <w:rPr>
                <w:spacing w:val="-3"/>
                <w:sz w:val="16"/>
              </w:rPr>
              <w:t xml:space="preserve"> </w:t>
            </w:r>
            <w:r>
              <w:rPr>
                <w:sz w:val="16"/>
              </w:rPr>
              <w:t>Classroom</w:t>
            </w:r>
            <w:r>
              <w:rPr>
                <w:spacing w:val="-1"/>
                <w:sz w:val="16"/>
              </w:rPr>
              <w:t xml:space="preserve"> </w:t>
            </w:r>
            <w:r>
              <w:rPr>
                <w:sz w:val="16"/>
              </w:rPr>
              <w:t xml:space="preserve">Environment, Psychological Principles, and  Data to </w:t>
            </w:r>
            <w:r w:rsidR="0050732A">
              <w:rPr>
                <w:sz w:val="16"/>
              </w:rPr>
              <w:t>assist in the development of student educational plans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434870">
            <w:pPr>
              <w:pStyle w:val="TableParagraph"/>
              <w:tabs>
                <w:tab w:val="left" w:pos="1171"/>
              </w:tabs>
              <w:spacing w:line="180" w:lineRule="exact"/>
              <w:ind w:left="811"/>
              <w:rPr>
                <w:sz w:val="16"/>
              </w:rPr>
            </w:pPr>
            <w:r>
              <w:rPr>
                <w:sz w:val="16"/>
              </w:rPr>
              <w:t>e.</w:t>
            </w:r>
            <w:r>
              <w:rPr>
                <w:sz w:val="16"/>
              </w:rPr>
              <w:tab/>
            </w:r>
            <w:r w:rsidR="0050732A">
              <w:rPr>
                <w:sz w:val="16"/>
              </w:rPr>
              <w:t xml:space="preserve">Applying </w:t>
            </w:r>
            <w:r>
              <w:rPr>
                <w:sz w:val="16"/>
              </w:rPr>
              <w:t>Diagnostic Interviewing</w:t>
            </w:r>
            <w:r>
              <w:rPr>
                <w:spacing w:val="-14"/>
                <w:sz w:val="16"/>
              </w:rPr>
              <w:t xml:space="preserve"> </w:t>
            </w:r>
            <w:r>
              <w:rPr>
                <w:sz w:val="16"/>
              </w:rPr>
              <w:t>Techniques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434870" w:rsidP="0050732A">
            <w:pPr>
              <w:pStyle w:val="TableParagraph"/>
              <w:tabs>
                <w:tab w:val="left" w:pos="1171"/>
              </w:tabs>
              <w:ind w:right="141" w:hanging="360"/>
              <w:rPr>
                <w:sz w:val="16"/>
              </w:rPr>
            </w:pPr>
            <w:r>
              <w:rPr>
                <w:sz w:val="16"/>
              </w:rPr>
              <w:t>f.</w:t>
            </w:r>
            <w:r>
              <w:rPr>
                <w:sz w:val="16"/>
              </w:rPr>
              <w:tab/>
            </w:r>
            <w:r w:rsidR="0050732A">
              <w:rPr>
                <w:sz w:val="16"/>
              </w:rPr>
              <w:t>Collaborating and Consulting with other professionals to identify instructional strategies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Default="0050732A" w:rsidP="0050732A">
            <w:pPr>
              <w:pStyle w:val="TableParagraph"/>
              <w:tabs>
                <w:tab w:val="left" w:pos="1171"/>
              </w:tabs>
              <w:ind w:right="115" w:hanging="360"/>
              <w:rPr>
                <w:sz w:val="16"/>
              </w:rPr>
            </w:pPr>
            <w:r>
              <w:rPr>
                <w:sz w:val="16"/>
              </w:rPr>
              <w:t>g.</w:t>
            </w:r>
            <w:r>
              <w:rPr>
                <w:sz w:val="16"/>
              </w:rPr>
              <w:tab/>
              <w:t xml:space="preserve">Administering and Interpreting </w:t>
            </w:r>
            <w:r w:rsidR="00434870">
              <w:rPr>
                <w:sz w:val="16"/>
              </w:rPr>
              <w:t>the</w:t>
            </w:r>
            <w:r w:rsidR="00434870">
              <w:rPr>
                <w:spacing w:val="-1"/>
                <w:sz w:val="16"/>
              </w:rPr>
              <w:t xml:space="preserve"> </w:t>
            </w:r>
            <w:r w:rsidR="00434870">
              <w:rPr>
                <w:sz w:val="16"/>
              </w:rPr>
              <w:t>Wechsler  Scale</w:t>
            </w:r>
            <w:r>
              <w:rPr>
                <w:sz w:val="16"/>
              </w:rPr>
              <w:t>s,</w:t>
            </w:r>
            <w:r w:rsidR="00434870">
              <w:rPr>
                <w:sz w:val="16"/>
              </w:rPr>
              <w:t xml:space="preserve"> the Stanford-</w:t>
            </w:r>
            <w:proofErr w:type="spellStart"/>
            <w:r w:rsidR="00434870">
              <w:rPr>
                <w:sz w:val="16"/>
              </w:rPr>
              <w:t>Binet</w:t>
            </w:r>
            <w:proofErr w:type="spellEnd"/>
            <w:r w:rsidR="00434870">
              <w:rPr>
                <w:sz w:val="16"/>
              </w:rPr>
              <w:t xml:space="preserve"> Intelligence</w:t>
            </w:r>
            <w:r w:rsidR="00434870">
              <w:rPr>
                <w:spacing w:val="-13"/>
                <w:sz w:val="16"/>
              </w:rPr>
              <w:t xml:space="preserve"> </w:t>
            </w:r>
            <w:r w:rsidR="00434870">
              <w:rPr>
                <w:sz w:val="16"/>
              </w:rPr>
              <w:t>Scale</w:t>
            </w:r>
            <w:r>
              <w:rPr>
                <w:sz w:val="16"/>
              </w:rPr>
              <w:t>, and other psychoeducational instruments</w:t>
            </w:r>
          </w:p>
        </w:tc>
        <w:tc>
          <w:tcPr>
            <w:tcW w:w="1678"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A62EC6" w:rsidRPr="006578E2" w:rsidRDefault="00A62EC6" w:rsidP="00434870">
            <w:pPr>
              <w:jc w:val="center"/>
              <w:rPr>
                <w:sz w:val="16"/>
              </w:rPr>
            </w:pPr>
          </w:p>
        </w:tc>
      </w:tr>
      <w:tr w:rsidR="007222C0" w:rsidTr="006578E2">
        <w:tc>
          <w:tcPr>
            <w:tcW w:w="4452" w:type="dxa"/>
            <w:tcBorders>
              <w:top w:val="single" w:sz="6" w:space="0" w:color="000000"/>
              <w:left w:val="single" w:sz="6" w:space="0" w:color="000000"/>
              <w:bottom w:val="single" w:sz="6" w:space="0" w:color="000000"/>
              <w:right w:val="single" w:sz="6" w:space="0" w:color="000000"/>
            </w:tcBorders>
          </w:tcPr>
          <w:p w:rsidR="007222C0" w:rsidRDefault="007222C0" w:rsidP="0050732A">
            <w:pPr>
              <w:pStyle w:val="TableParagraph"/>
              <w:tabs>
                <w:tab w:val="left" w:pos="1171"/>
              </w:tabs>
              <w:ind w:right="115" w:hanging="360"/>
              <w:rPr>
                <w:sz w:val="16"/>
              </w:rPr>
            </w:pPr>
            <w:r>
              <w:rPr>
                <w:sz w:val="16"/>
              </w:rPr>
              <w:t xml:space="preserve">h.     Providing services consistent with ethical, legal, and professional standards </w:t>
            </w:r>
          </w:p>
        </w:tc>
        <w:tc>
          <w:tcPr>
            <w:tcW w:w="1678" w:type="dxa"/>
            <w:tcBorders>
              <w:top w:val="single" w:sz="6" w:space="0" w:color="000000"/>
              <w:left w:val="single" w:sz="6" w:space="0" w:color="000000"/>
              <w:bottom w:val="single" w:sz="6" w:space="0" w:color="000000"/>
              <w:right w:val="single" w:sz="6" w:space="0" w:color="000000"/>
            </w:tcBorders>
          </w:tcPr>
          <w:p w:rsidR="007222C0" w:rsidRPr="006578E2" w:rsidRDefault="007222C0" w:rsidP="00434870">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222C0" w:rsidRPr="006578E2" w:rsidRDefault="007222C0" w:rsidP="00434870">
            <w:pPr>
              <w:jc w:val="center"/>
              <w:rPr>
                <w:sz w:val="16"/>
              </w:rPr>
            </w:pPr>
          </w:p>
        </w:tc>
        <w:tc>
          <w:tcPr>
            <w:tcW w:w="1375" w:type="dxa"/>
            <w:tcBorders>
              <w:top w:val="single" w:sz="6" w:space="0" w:color="000000"/>
              <w:left w:val="single" w:sz="6" w:space="0" w:color="000000"/>
              <w:bottom w:val="single" w:sz="6" w:space="0" w:color="000000"/>
              <w:right w:val="single" w:sz="6" w:space="0" w:color="000000"/>
            </w:tcBorders>
          </w:tcPr>
          <w:p w:rsidR="007222C0" w:rsidRPr="006578E2" w:rsidRDefault="007222C0" w:rsidP="00434870">
            <w:pPr>
              <w:jc w:val="center"/>
              <w:rPr>
                <w:sz w:val="16"/>
              </w:rPr>
            </w:pPr>
          </w:p>
        </w:tc>
      </w:tr>
      <w:tr w:rsidR="00A62EC6" w:rsidTr="006578E2">
        <w:trPr>
          <w:trHeight w:hRule="exact" w:val="221"/>
        </w:trPr>
        <w:tc>
          <w:tcPr>
            <w:tcW w:w="9550" w:type="dxa"/>
            <w:gridSpan w:val="3"/>
            <w:tcBorders>
              <w:top w:val="single" w:sz="6" w:space="0" w:color="000000"/>
              <w:left w:val="single" w:sz="6" w:space="0" w:color="000000"/>
              <w:bottom w:val="single" w:sz="6" w:space="0" w:color="000000"/>
              <w:right w:val="single" w:sz="6" w:space="0" w:color="000000"/>
            </w:tcBorders>
          </w:tcPr>
          <w:p w:rsidR="00A62EC6" w:rsidRDefault="00434870">
            <w:pPr>
              <w:pStyle w:val="TableParagraph"/>
              <w:spacing w:line="201" w:lineRule="exact"/>
              <w:ind w:left="6184"/>
              <w:rPr>
                <w:b/>
                <w:sz w:val="18"/>
              </w:rPr>
            </w:pPr>
            <w:r>
              <w:rPr>
                <w:b/>
                <w:sz w:val="18"/>
              </w:rPr>
              <w:t>Competencies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A62EC6" w:rsidRPr="006578E2" w:rsidRDefault="00A62EC6" w:rsidP="00434870">
            <w:pPr>
              <w:jc w:val="center"/>
              <w:rPr>
                <w:b/>
                <w:sz w:val="20"/>
              </w:rPr>
            </w:pPr>
          </w:p>
        </w:tc>
      </w:tr>
    </w:tbl>
    <w:p w:rsidR="006578E2" w:rsidRDefault="006578E2">
      <w: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A62EC6" w:rsidTr="006578E2">
        <w:trPr>
          <w:trHeight w:hRule="exact" w:val="223"/>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A62EC6" w:rsidRDefault="00434870" w:rsidP="007222C0">
            <w:pPr>
              <w:pStyle w:val="TableParagraph"/>
              <w:spacing w:line="201" w:lineRule="exact"/>
              <w:ind w:left="100"/>
              <w:rPr>
                <w:b/>
                <w:sz w:val="18"/>
              </w:rPr>
            </w:pPr>
            <w:r>
              <w:rPr>
                <w:b/>
                <w:sz w:val="18"/>
              </w:rPr>
              <w:lastRenderedPageBreak/>
              <w:t xml:space="preserve">C.   Field and Clinical Experiences </w:t>
            </w:r>
            <w:r w:rsidR="007222C0">
              <w:rPr>
                <w:b/>
                <w:sz w:val="18"/>
              </w:rPr>
              <w:t>(Minimum of 3 semester hours and</w:t>
            </w:r>
            <w:r>
              <w:rPr>
                <w:b/>
                <w:sz w:val="18"/>
              </w:rPr>
              <w:t xml:space="preserve"> 150 clock hours)</w:t>
            </w:r>
          </w:p>
        </w:tc>
      </w:tr>
      <w:tr w:rsidR="00A62EC6" w:rsidTr="006578E2">
        <w:trPr>
          <w:trHeight w:hRule="exact" w:val="382"/>
        </w:trPr>
        <w:tc>
          <w:tcPr>
            <w:tcW w:w="4452" w:type="dxa"/>
            <w:tcBorders>
              <w:top w:val="single" w:sz="6" w:space="0" w:color="000000"/>
              <w:bottom w:val="single" w:sz="6" w:space="0" w:color="000000"/>
            </w:tcBorders>
            <w:shd w:val="clear" w:color="auto" w:fill="DADADA"/>
          </w:tcPr>
          <w:p w:rsidR="00A62EC6" w:rsidRDefault="00A62EC6"/>
        </w:tc>
        <w:tc>
          <w:tcPr>
            <w:tcW w:w="1678" w:type="dxa"/>
            <w:tcBorders>
              <w:top w:val="single" w:sz="6" w:space="0" w:color="000000"/>
              <w:bottom w:val="single" w:sz="6" w:space="0" w:color="000000"/>
            </w:tcBorders>
            <w:shd w:val="clear" w:color="auto" w:fill="DADADA"/>
          </w:tcPr>
          <w:p w:rsidR="00A62EC6" w:rsidRDefault="00434870">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A62EC6" w:rsidRDefault="00434870">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A62EC6" w:rsidRDefault="00434870">
            <w:pPr>
              <w:pStyle w:val="TableParagraph"/>
              <w:ind w:left="451" w:right="304" w:hanging="130"/>
              <w:rPr>
                <w:b/>
                <w:sz w:val="16"/>
              </w:rPr>
            </w:pPr>
            <w:r>
              <w:rPr>
                <w:b/>
                <w:sz w:val="16"/>
              </w:rPr>
              <w:t>Semester Hours</w:t>
            </w:r>
          </w:p>
        </w:tc>
      </w:tr>
      <w:tr w:rsidR="00A62EC6" w:rsidTr="006578E2">
        <w:tc>
          <w:tcPr>
            <w:tcW w:w="4452" w:type="dxa"/>
            <w:tcBorders>
              <w:top w:val="single" w:sz="6" w:space="0" w:color="000000"/>
              <w:left w:val="single" w:sz="6" w:space="0" w:color="000000"/>
              <w:bottom w:val="single" w:sz="6" w:space="0" w:color="000000"/>
              <w:right w:val="single" w:sz="6" w:space="0" w:color="000000"/>
            </w:tcBorders>
          </w:tcPr>
          <w:p w:rsidR="00A62EC6" w:rsidRPr="007222C0" w:rsidRDefault="00434870" w:rsidP="007222C0">
            <w:pPr>
              <w:pStyle w:val="TableParagraph"/>
              <w:numPr>
                <w:ilvl w:val="0"/>
                <w:numId w:val="2"/>
              </w:numPr>
              <w:tabs>
                <w:tab w:val="left" w:pos="1171"/>
              </w:tabs>
              <w:ind w:right="844"/>
              <w:rPr>
                <w:sz w:val="16"/>
                <w:szCs w:val="16"/>
              </w:rPr>
            </w:pPr>
            <w:r w:rsidRPr="007222C0">
              <w:rPr>
                <w:sz w:val="16"/>
                <w:szCs w:val="16"/>
              </w:rPr>
              <w:t>Culminating Clinical</w:t>
            </w:r>
            <w:r w:rsidRPr="007222C0">
              <w:rPr>
                <w:spacing w:val="-8"/>
                <w:sz w:val="16"/>
                <w:szCs w:val="16"/>
              </w:rPr>
              <w:t xml:space="preserve"> </w:t>
            </w:r>
            <w:r w:rsidRPr="007222C0">
              <w:rPr>
                <w:sz w:val="16"/>
                <w:szCs w:val="16"/>
              </w:rPr>
              <w:t>Experience</w:t>
            </w:r>
            <w:r w:rsidRPr="007222C0">
              <w:rPr>
                <w:spacing w:val="-4"/>
                <w:sz w:val="16"/>
                <w:szCs w:val="16"/>
              </w:rPr>
              <w:t xml:space="preserve"> </w:t>
            </w:r>
            <w:r w:rsidR="007222C0" w:rsidRPr="007222C0">
              <w:rPr>
                <w:sz w:val="16"/>
                <w:szCs w:val="16"/>
              </w:rPr>
              <w:t xml:space="preserve">in an Educational </w:t>
            </w:r>
            <w:r w:rsidRPr="007222C0">
              <w:rPr>
                <w:spacing w:val="-7"/>
                <w:sz w:val="16"/>
                <w:szCs w:val="16"/>
              </w:rPr>
              <w:t xml:space="preserve"> </w:t>
            </w:r>
            <w:r w:rsidRPr="007222C0">
              <w:rPr>
                <w:sz w:val="16"/>
                <w:szCs w:val="16"/>
              </w:rPr>
              <w:t>Setting</w:t>
            </w:r>
          </w:p>
          <w:p w:rsidR="007222C0" w:rsidRDefault="007222C0" w:rsidP="007222C0">
            <w:pPr>
              <w:widowControl/>
              <w:adjustRightInd w:val="0"/>
              <w:ind w:left="1150"/>
              <w:rPr>
                <w:rFonts w:eastAsiaTheme="minorHAnsi"/>
                <w:sz w:val="16"/>
                <w:szCs w:val="16"/>
              </w:rPr>
            </w:pPr>
          </w:p>
          <w:p w:rsidR="007222C0" w:rsidRDefault="007222C0" w:rsidP="007222C0">
            <w:pPr>
              <w:widowControl/>
              <w:adjustRightInd w:val="0"/>
              <w:ind w:left="1150"/>
              <w:rPr>
                <w:rFonts w:eastAsiaTheme="minorHAnsi"/>
                <w:sz w:val="16"/>
                <w:szCs w:val="16"/>
              </w:rPr>
            </w:pPr>
            <w:r>
              <w:rPr>
                <w:rFonts w:eastAsiaTheme="minorHAnsi"/>
                <w:sz w:val="16"/>
                <w:szCs w:val="16"/>
              </w:rPr>
              <w:t>The</w:t>
            </w:r>
            <w:r w:rsidRPr="007222C0">
              <w:rPr>
                <w:rFonts w:eastAsiaTheme="minorHAnsi"/>
                <w:sz w:val="16"/>
                <w:szCs w:val="16"/>
              </w:rPr>
              <w:t xml:space="preserve"> culminating clinical experience must be in an educational setting with children and youth of school age while under the supervision of a certified School</w:t>
            </w:r>
            <w:r>
              <w:rPr>
                <w:rFonts w:eastAsiaTheme="minorHAnsi"/>
                <w:sz w:val="16"/>
                <w:szCs w:val="16"/>
              </w:rPr>
              <w:t xml:space="preserve"> </w:t>
            </w:r>
            <w:r w:rsidRPr="007222C0">
              <w:rPr>
                <w:rFonts w:eastAsiaTheme="minorHAnsi"/>
                <w:sz w:val="16"/>
                <w:szCs w:val="16"/>
              </w:rPr>
              <w:t xml:space="preserve">Psychological Examiner or School Psychologist. </w:t>
            </w:r>
          </w:p>
          <w:p w:rsidR="007222C0" w:rsidRDefault="007222C0" w:rsidP="007222C0">
            <w:pPr>
              <w:widowControl/>
              <w:adjustRightInd w:val="0"/>
              <w:ind w:left="1150"/>
              <w:rPr>
                <w:rFonts w:eastAsiaTheme="minorHAnsi"/>
                <w:sz w:val="16"/>
                <w:szCs w:val="16"/>
              </w:rPr>
            </w:pPr>
          </w:p>
          <w:p w:rsidR="007222C0" w:rsidRPr="007222C0" w:rsidRDefault="007222C0" w:rsidP="007222C0">
            <w:pPr>
              <w:widowControl/>
              <w:adjustRightInd w:val="0"/>
              <w:ind w:left="1150"/>
              <w:rPr>
                <w:rFonts w:eastAsiaTheme="minorHAnsi"/>
                <w:sz w:val="16"/>
                <w:szCs w:val="16"/>
              </w:rPr>
            </w:pPr>
            <w:r w:rsidRPr="007222C0">
              <w:rPr>
                <w:rFonts w:eastAsiaTheme="minorHAnsi"/>
                <w:sz w:val="16"/>
                <w:szCs w:val="16"/>
              </w:rPr>
              <w:t>The culminating clinical experience must include the administration and interpretation of individual intelligence tests, formal and informal diagnostic procedures, and the application of the information to</w:t>
            </w:r>
          </w:p>
          <w:p w:rsidR="007222C0" w:rsidRDefault="007222C0" w:rsidP="007222C0">
            <w:pPr>
              <w:pStyle w:val="TableParagraph"/>
              <w:tabs>
                <w:tab w:val="left" w:pos="1171"/>
              </w:tabs>
              <w:ind w:left="0" w:right="844" w:firstLine="1150"/>
              <w:rPr>
                <w:sz w:val="16"/>
              </w:rPr>
            </w:pPr>
            <w:proofErr w:type="gramStart"/>
            <w:r w:rsidRPr="007222C0">
              <w:rPr>
                <w:rFonts w:eastAsiaTheme="minorHAnsi"/>
                <w:sz w:val="16"/>
                <w:szCs w:val="16"/>
              </w:rPr>
              <w:t>d</w:t>
            </w:r>
            <w:r>
              <w:rPr>
                <w:rFonts w:eastAsiaTheme="minorHAnsi"/>
                <w:sz w:val="16"/>
                <w:szCs w:val="16"/>
              </w:rPr>
              <w:t>evelop</w:t>
            </w:r>
            <w:proofErr w:type="gramEnd"/>
            <w:r>
              <w:rPr>
                <w:rFonts w:eastAsiaTheme="minorHAnsi"/>
                <w:sz w:val="16"/>
                <w:szCs w:val="16"/>
              </w:rPr>
              <w:t xml:space="preserve"> instructional strategies.</w:t>
            </w:r>
          </w:p>
        </w:tc>
        <w:tc>
          <w:tcPr>
            <w:tcW w:w="1678" w:type="dxa"/>
            <w:tcBorders>
              <w:top w:val="single" w:sz="6" w:space="0" w:color="000000"/>
              <w:left w:val="single" w:sz="6" w:space="0" w:color="000000"/>
              <w:bottom w:val="single" w:sz="6" w:space="0" w:color="000000"/>
              <w:right w:val="single" w:sz="6" w:space="0" w:color="000000"/>
            </w:tcBorders>
          </w:tcPr>
          <w:p w:rsidR="00A62EC6" w:rsidRDefault="00A62EC6" w:rsidP="00434870">
            <w:pPr>
              <w:jc w:val="center"/>
            </w:pPr>
          </w:p>
        </w:tc>
        <w:tc>
          <w:tcPr>
            <w:tcW w:w="3420" w:type="dxa"/>
            <w:tcBorders>
              <w:top w:val="single" w:sz="6" w:space="0" w:color="000000"/>
              <w:left w:val="single" w:sz="6" w:space="0" w:color="000000"/>
              <w:bottom w:val="single" w:sz="6" w:space="0" w:color="000000"/>
              <w:right w:val="single" w:sz="6" w:space="0" w:color="000000"/>
            </w:tcBorders>
          </w:tcPr>
          <w:p w:rsidR="00A62EC6" w:rsidRDefault="00A62EC6" w:rsidP="00434870">
            <w:pPr>
              <w:jc w:val="center"/>
            </w:pPr>
          </w:p>
        </w:tc>
        <w:tc>
          <w:tcPr>
            <w:tcW w:w="1375" w:type="dxa"/>
            <w:tcBorders>
              <w:top w:val="single" w:sz="6" w:space="0" w:color="000000"/>
              <w:left w:val="single" w:sz="6" w:space="0" w:color="000000"/>
              <w:bottom w:val="single" w:sz="6" w:space="0" w:color="000000"/>
              <w:right w:val="single" w:sz="6" w:space="0" w:color="000000"/>
            </w:tcBorders>
          </w:tcPr>
          <w:p w:rsidR="00A62EC6" w:rsidRDefault="00A62EC6" w:rsidP="00434870">
            <w:pPr>
              <w:jc w:val="center"/>
            </w:pPr>
          </w:p>
        </w:tc>
      </w:tr>
      <w:tr w:rsidR="00A62EC6" w:rsidTr="006578E2">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A62EC6" w:rsidRDefault="00434870">
            <w:pPr>
              <w:pStyle w:val="TableParagraph"/>
              <w:spacing w:line="201" w:lineRule="exact"/>
              <w:ind w:left="4824"/>
              <w:rPr>
                <w:b/>
                <w:sz w:val="18"/>
              </w:rPr>
            </w:pPr>
            <w:r>
              <w:rPr>
                <w:b/>
                <w:sz w:val="18"/>
              </w:rPr>
              <w:t>Field and Clinical Experiences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A62EC6" w:rsidRPr="006578E2" w:rsidRDefault="00A62EC6" w:rsidP="00434870">
            <w:pPr>
              <w:jc w:val="center"/>
              <w:rPr>
                <w:b/>
                <w:sz w:val="20"/>
              </w:rPr>
            </w:pPr>
          </w:p>
        </w:tc>
      </w:tr>
    </w:tbl>
    <w:p w:rsidR="00362F0A" w:rsidRPr="00E639B0" w:rsidRDefault="00362F0A" w:rsidP="00362F0A">
      <w:pPr>
        <w:rPr>
          <w:i/>
          <w:iCs/>
          <w:sz w:val="12"/>
          <w:szCs w:val="24"/>
        </w:rPr>
      </w:pPr>
      <w:r w:rsidRPr="00E639B0">
        <w:rPr>
          <w:i/>
          <w:iCs/>
          <w:color w:val="333333"/>
          <w:sz w:val="12"/>
          <w:szCs w:val="24"/>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E639B0">
          <w:rPr>
            <w:rStyle w:val="Hyperlink"/>
            <w:i/>
            <w:iCs/>
            <w:sz w:val="12"/>
            <w:szCs w:val="24"/>
          </w:rPr>
          <w:t>civilrights@dese.mo.gov</w:t>
        </w:r>
      </w:hyperlink>
      <w:r w:rsidRPr="00E639B0">
        <w:rPr>
          <w:i/>
          <w:iCs/>
          <w:sz w:val="12"/>
          <w:szCs w:val="24"/>
        </w:rPr>
        <w:t>.</w:t>
      </w:r>
    </w:p>
    <w:p w:rsidR="00A04CCD" w:rsidRDefault="00A04CCD"/>
    <w:sectPr w:rsidR="00A04CCD">
      <w:footerReference w:type="default" r:id="rId11"/>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CD" w:rsidRDefault="00434870">
      <w:r>
        <w:separator/>
      </w:r>
    </w:p>
  </w:endnote>
  <w:endnote w:type="continuationSeparator" w:id="0">
    <w:p w:rsidR="00A04CCD" w:rsidRDefault="0043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C6" w:rsidRDefault="001A0623">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9671685</wp:posOffset>
              </wp:positionV>
              <wp:extent cx="1057910" cy="124460"/>
              <wp:effectExtent l="0" t="381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EC6" w:rsidRDefault="00434870">
                          <w:pPr>
                            <w:spacing w:before="14"/>
                            <w:ind w:left="20"/>
                            <w:rPr>
                              <w:sz w:val="14"/>
                            </w:rPr>
                          </w:pPr>
                          <w:r>
                            <w:rPr>
                              <w:sz w:val="14"/>
                            </w:rPr>
                            <w:t>MO 500-3095 (Rev 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61.55pt;width:83.3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NFrAIAAKk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" filled="f" stroked="f">
              <v:textbox inset="0,0,0,0">
                <w:txbxContent>
                  <w:p w:rsidR="00A62EC6" w:rsidRDefault="00434870">
                    <w:pPr>
                      <w:spacing w:before="14"/>
                      <w:ind w:left="20"/>
                      <w:rPr>
                        <w:sz w:val="14"/>
                      </w:rPr>
                    </w:pPr>
                    <w:r>
                      <w:rPr>
                        <w:sz w:val="14"/>
                      </w:rPr>
                      <w:t>MO 500-3095 (Rev 12/17)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CD" w:rsidRDefault="00434870">
      <w:r>
        <w:separator/>
      </w:r>
    </w:p>
  </w:footnote>
  <w:footnote w:type="continuationSeparator" w:id="0">
    <w:p w:rsidR="00A04CCD" w:rsidRDefault="00434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20C7"/>
    <w:multiLevelType w:val="hybridMultilevel"/>
    <w:tmpl w:val="0C6275C0"/>
    <w:lvl w:ilvl="0" w:tplc="C9A2C974">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 w15:restartNumberingAfterBreak="0">
    <w:nsid w:val="3030697F"/>
    <w:multiLevelType w:val="hybridMultilevel"/>
    <w:tmpl w:val="E8280096"/>
    <w:lvl w:ilvl="0" w:tplc="FC3C3AB0">
      <w:numFmt w:val="bullet"/>
      <w:lvlText w:val=""/>
      <w:lvlJc w:val="left"/>
      <w:pPr>
        <w:ind w:left="830" w:hanging="360"/>
      </w:pPr>
      <w:rPr>
        <w:rFonts w:ascii="Symbol" w:eastAsia="Symbol" w:hAnsi="Symbol" w:cs="Symbol" w:hint="default"/>
        <w:w w:val="100"/>
        <w:sz w:val="18"/>
        <w:szCs w:val="18"/>
      </w:rPr>
    </w:lvl>
    <w:lvl w:ilvl="1" w:tplc="F5D2151C">
      <w:numFmt w:val="bullet"/>
      <w:lvlText w:val="•"/>
      <w:lvlJc w:val="left"/>
      <w:pPr>
        <w:ind w:left="1847" w:hanging="360"/>
      </w:pPr>
      <w:rPr>
        <w:rFonts w:hint="default"/>
      </w:rPr>
    </w:lvl>
    <w:lvl w:ilvl="2" w:tplc="2176F404">
      <w:numFmt w:val="bullet"/>
      <w:lvlText w:val="•"/>
      <w:lvlJc w:val="left"/>
      <w:pPr>
        <w:ind w:left="2854" w:hanging="360"/>
      </w:pPr>
      <w:rPr>
        <w:rFonts w:hint="default"/>
      </w:rPr>
    </w:lvl>
    <w:lvl w:ilvl="3" w:tplc="C2360E3C">
      <w:numFmt w:val="bullet"/>
      <w:lvlText w:val="•"/>
      <w:lvlJc w:val="left"/>
      <w:pPr>
        <w:ind w:left="3862" w:hanging="360"/>
      </w:pPr>
      <w:rPr>
        <w:rFonts w:hint="default"/>
      </w:rPr>
    </w:lvl>
    <w:lvl w:ilvl="4" w:tplc="933CDE5A">
      <w:numFmt w:val="bullet"/>
      <w:lvlText w:val="•"/>
      <w:lvlJc w:val="left"/>
      <w:pPr>
        <w:ind w:left="4869" w:hanging="360"/>
      </w:pPr>
      <w:rPr>
        <w:rFonts w:hint="default"/>
      </w:rPr>
    </w:lvl>
    <w:lvl w:ilvl="5" w:tplc="CFE2A284">
      <w:numFmt w:val="bullet"/>
      <w:lvlText w:val="•"/>
      <w:lvlJc w:val="left"/>
      <w:pPr>
        <w:ind w:left="5877" w:hanging="360"/>
      </w:pPr>
      <w:rPr>
        <w:rFonts w:hint="default"/>
      </w:rPr>
    </w:lvl>
    <w:lvl w:ilvl="6" w:tplc="3EACC56A">
      <w:numFmt w:val="bullet"/>
      <w:lvlText w:val="•"/>
      <w:lvlJc w:val="left"/>
      <w:pPr>
        <w:ind w:left="6884" w:hanging="360"/>
      </w:pPr>
      <w:rPr>
        <w:rFonts w:hint="default"/>
      </w:rPr>
    </w:lvl>
    <w:lvl w:ilvl="7" w:tplc="E5E66C02">
      <w:numFmt w:val="bullet"/>
      <w:lvlText w:val="•"/>
      <w:lvlJc w:val="left"/>
      <w:pPr>
        <w:ind w:left="7891" w:hanging="360"/>
      </w:pPr>
      <w:rPr>
        <w:rFonts w:hint="default"/>
      </w:rPr>
    </w:lvl>
    <w:lvl w:ilvl="8" w:tplc="22BA90DA">
      <w:numFmt w:val="bullet"/>
      <w:lvlText w:val="•"/>
      <w:lvlJc w:val="left"/>
      <w:pPr>
        <w:ind w:left="889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C6"/>
    <w:rsid w:val="001A0623"/>
    <w:rsid w:val="00362F0A"/>
    <w:rsid w:val="00434870"/>
    <w:rsid w:val="0050732A"/>
    <w:rsid w:val="006578E2"/>
    <w:rsid w:val="007222C0"/>
    <w:rsid w:val="00A04CCD"/>
    <w:rsid w:val="00A62EC6"/>
    <w:rsid w:val="00A8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C0C750C-34CC-47E6-A85D-68D211A4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1"/>
    </w:pPr>
  </w:style>
  <w:style w:type="character" w:styleId="Hyperlink">
    <w:name w:val="Hyperlink"/>
    <w:basedOn w:val="DefaultParagraphFont"/>
    <w:uiPriority w:val="99"/>
    <w:unhideWhenUsed/>
    <w:rsid w:val="00362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ivilrights@dese.mo.gov" TargetMode="Externa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Alberson, Buddy</cp:lastModifiedBy>
  <cp:revision>3</cp:revision>
  <dcterms:created xsi:type="dcterms:W3CDTF">2022-05-11T12:01:00Z</dcterms:created>
  <dcterms:modified xsi:type="dcterms:W3CDTF">2022-05-11T12:05:00Z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