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34" w:rsidRDefault="00FD66E4" w:rsidP="00B10534">
      <w:pPr>
        <w:pStyle w:val="ListParagraph"/>
        <w:spacing w:after="0"/>
        <w:jc w:val="center"/>
        <w:rPr>
          <w:rFonts w:cstheme="minorHAnsi"/>
          <w:b/>
          <w:sz w:val="36"/>
          <w:szCs w:val="36"/>
        </w:rPr>
      </w:pPr>
      <w:r w:rsidRPr="00DD7CC0">
        <w:rPr>
          <w:rFonts w:cstheme="minorHAnsi"/>
          <w:b/>
          <w:sz w:val="36"/>
          <w:szCs w:val="36"/>
        </w:rPr>
        <w:t>ESEA Program Self-Monitoring Checklist</w:t>
      </w:r>
    </w:p>
    <w:p w:rsidR="00F052DF" w:rsidRDefault="00F052DF" w:rsidP="00F052DF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Nonpublic April Cycle</w:t>
      </w:r>
    </w:p>
    <w:p w:rsidR="00B10534" w:rsidRPr="00B10534" w:rsidRDefault="00B10534" w:rsidP="00B10534">
      <w:pPr>
        <w:pStyle w:val="ListParagraph"/>
        <w:spacing w:after="0"/>
        <w:jc w:val="center"/>
        <w:rPr>
          <w:rFonts w:cstheme="minorHAnsi"/>
          <w:b/>
          <w:sz w:val="20"/>
          <w:szCs w:val="20"/>
        </w:rPr>
      </w:pPr>
    </w:p>
    <w:p w:rsidR="00B10534" w:rsidRDefault="00B10534" w:rsidP="00FD66E4">
      <w:pPr>
        <w:spacing w:after="0"/>
        <w:jc w:val="center"/>
        <w:rPr>
          <w:rFonts w:cstheme="minorHAnsi"/>
          <w:u w:val="single"/>
        </w:rPr>
      </w:pPr>
    </w:p>
    <w:p w:rsidR="00B10534" w:rsidRPr="00B10534" w:rsidRDefault="00B10534" w:rsidP="00B10534">
      <w:pPr>
        <w:spacing w:after="0"/>
        <w:rPr>
          <w:rFonts w:cstheme="minorHAnsi"/>
        </w:rPr>
      </w:pPr>
      <w:r>
        <w:rPr>
          <w:rFonts w:cstheme="minorHAnsi"/>
        </w:rPr>
        <w:t xml:space="preserve">General Provisions </w:t>
      </w:r>
    </w:p>
    <w:p w:rsidR="00B10534" w:rsidRDefault="00B10534" w:rsidP="00B10534">
      <w:pPr>
        <w:spacing w:after="0"/>
        <w:rPr>
          <w:rFonts w:cstheme="minorHAnsi"/>
          <w:u w:val="single"/>
        </w:rPr>
      </w:pPr>
      <w:r>
        <w:rPr>
          <w:noProof/>
        </w:rPr>
        <w:drawing>
          <wp:inline distT="0" distB="0" distL="0" distR="0" wp14:anchorId="1CB0D0CE" wp14:editId="080F40DA">
            <wp:extent cx="5943600" cy="384466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411"/>
                    <a:stretch/>
                  </pic:blipFill>
                  <pic:spPr bwMode="auto">
                    <a:xfrm>
                      <a:off x="0" y="0"/>
                      <a:ext cx="5943600" cy="384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534" w:rsidRDefault="00F052DF" w:rsidP="00FD66E4">
      <w:pPr>
        <w:spacing w:after="0"/>
        <w:jc w:val="center"/>
        <w:rPr>
          <w:rFonts w:cstheme="minorHAnsi"/>
          <w:u w:val="single"/>
        </w:rPr>
      </w:pPr>
      <w:r>
        <w:rPr>
          <w:noProof/>
        </w:rPr>
        <w:drawing>
          <wp:inline distT="0" distB="0" distL="0" distR="0" wp14:anchorId="647A9537" wp14:editId="4DBB4A21">
            <wp:extent cx="5943600" cy="1952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6E4" w:rsidRPr="00B10534" w:rsidRDefault="00FD66E4" w:rsidP="00B10534">
      <w:pPr>
        <w:spacing w:after="0"/>
        <w:rPr>
          <w:rFonts w:cstheme="minorHAnsi"/>
        </w:rPr>
      </w:pPr>
    </w:p>
    <w:sectPr w:rsidR="00FD66E4" w:rsidRPr="00B10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E4"/>
    <w:rsid w:val="007F341D"/>
    <w:rsid w:val="00804A5E"/>
    <w:rsid w:val="00A30171"/>
    <w:rsid w:val="00B10534"/>
    <w:rsid w:val="00C672B1"/>
    <w:rsid w:val="00DA39DE"/>
    <w:rsid w:val="00F052DF"/>
    <w:rsid w:val="00F22EB2"/>
    <w:rsid w:val="00F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E23B"/>
  <w15:chartTrackingRefBased/>
  <w15:docId w15:val="{F6AF9391-1CA0-4BC4-BEB1-2ACC3C90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Villmer, Theresa</dc:creator>
  <cp:keywords/>
  <dc:description/>
  <cp:lastModifiedBy>Villmer, Theresa</cp:lastModifiedBy>
  <cp:revision>2</cp:revision>
  <dcterms:created xsi:type="dcterms:W3CDTF">2022-11-30T21:44:00Z</dcterms:created>
  <dcterms:modified xsi:type="dcterms:W3CDTF">2022-11-30T21:44:00Z</dcterms:modified>
</cp:coreProperties>
</file>