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3418"/>
        <w:gridCol w:w="6062"/>
      </w:tblGrid>
      <w:tr w:rsidR="00075310" w:rsidRPr="00C27379" w:rsidTr="009E53D7">
        <w:tc>
          <w:tcPr>
            <w:tcW w:w="10998" w:type="dxa"/>
            <w:gridSpan w:val="3"/>
          </w:tcPr>
          <w:p w:rsidR="00075310" w:rsidRPr="00C27379" w:rsidRDefault="009E53D7" w:rsidP="00075310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9E53D7">
              <w:rPr>
                <w:b/>
                <w:sz w:val="24"/>
                <w:szCs w:val="17"/>
              </w:rPr>
              <w:t>Second</w:t>
            </w:r>
            <w:r w:rsidR="00075310" w:rsidRPr="009E53D7">
              <w:rPr>
                <w:b/>
                <w:sz w:val="24"/>
                <w:szCs w:val="17"/>
              </w:rPr>
              <w:t xml:space="preserve"> Year Counselor Practices</w:t>
            </w:r>
          </w:p>
        </w:tc>
      </w:tr>
      <w:tr w:rsidR="00DD038F" w:rsidRPr="00C27379" w:rsidTr="009E53D7">
        <w:tc>
          <w:tcPr>
            <w:tcW w:w="0" w:type="auto"/>
          </w:tcPr>
          <w:p w:rsidR="00075310" w:rsidRPr="009E53D7" w:rsidRDefault="00075310" w:rsidP="009E53D7">
            <w:pPr>
              <w:jc w:val="center"/>
              <w:rPr>
                <w:b/>
                <w:szCs w:val="17"/>
              </w:rPr>
            </w:pPr>
            <w:r w:rsidRPr="009E53D7">
              <w:rPr>
                <w:b/>
                <w:szCs w:val="17"/>
              </w:rPr>
              <w:t>Timeframe</w:t>
            </w:r>
          </w:p>
        </w:tc>
        <w:tc>
          <w:tcPr>
            <w:tcW w:w="3418" w:type="dxa"/>
          </w:tcPr>
          <w:p w:rsidR="00075310" w:rsidRPr="009E53D7" w:rsidRDefault="00075310" w:rsidP="009E53D7">
            <w:pPr>
              <w:jc w:val="center"/>
              <w:rPr>
                <w:b/>
                <w:szCs w:val="17"/>
              </w:rPr>
            </w:pPr>
            <w:r w:rsidRPr="009E53D7">
              <w:rPr>
                <w:b/>
                <w:szCs w:val="17"/>
              </w:rPr>
              <w:t>MO Indicator</w:t>
            </w:r>
          </w:p>
        </w:tc>
        <w:tc>
          <w:tcPr>
            <w:tcW w:w="6062" w:type="dxa"/>
          </w:tcPr>
          <w:p w:rsidR="00075310" w:rsidRPr="009E53D7" w:rsidRDefault="00075310" w:rsidP="009E53D7">
            <w:pPr>
              <w:jc w:val="center"/>
              <w:rPr>
                <w:b/>
                <w:szCs w:val="17"/>
              </w:rPr>
            </w:pPr>
            <w:r w:rsidRPr="009E53D7">
              <w:rPr>
                <w:b/>
                <w:szCs w:val="17"/>
              </w:rPr>
              <w:t>Evidence of Knowledge and Skills</w:t>
            </w:r>
          </w:p>
        </w:tc>
      </w:tr>
      <w:tr w:rsidR="00874BCB" w:rsidRPr="009E53D7" w:rsidTr="009E53D7">
        <w:trPr>
          <w:trHeight w:val="1318"/>
        </w:trPr>
        <w:tc>
          <w:tcPr>
            <w:tcW w:w="0" w:type="auto"/>
          </w:tcPr>
          <w:p w:rsidR="00DD038F" w:rsidRPr="009E53D7" w:rsidRDefault="00DD038F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Prior to the</w:t>
            </w:r>
          </w:p>
          <w:p w:rsidR="00DD038F" w:rsidRPr="009E53D7" w:rsidRDefault="00DD038F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Beginning of</w:t>
            </w:r>
          </w:p>
          <w:p w:rsidR="00DD038F" w:rsidRPr="009E53D7" w:rsidRDefault="00DD038F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School</w:t>
            </w:r>
          </w:p>
          <w:p w:rsidR="00227CBF" w:rsidRPr="009E53D7" w:rsidRDefault="00227CBF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&amp; 1</w:t>
            </w:r>
            <w:r w:rsidRPr="009E53D7">
              <w:rPr>
                <w:b/>
                <w:sz w:val="20"/>
                <w:szCs w:val="18"/>
                <w:vertAlign w:val="superscript"/>
              </w:rPr>
              <w:t>st</w:t>
            </w:r>
            <w:r w:rsidRPr="009E53D7">
              <w:rPr>
                <w:b/>
                <w:sz w:val="20"/>
                <w:szCs w:val="18"/>
              </w:rPr>
              <w:t xml:space="preserve"> month</w:t>
            </w:r>
          </w:p>
        </w:tc>
        <w:tc>
          <w:tcPr>
            <w:tcW w:w="3418" w:type="dxa"/>
          </w:tcPr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1.1 Human Growth and Development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1.2 Counseling Theories and Interventions</w:t>
            </w:r>
          </w:p>
          <w:p w:rsidR="00DD038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1.4 Social Cultural Diversity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1.6 Career Development and Planning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2.2 Comprehensive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Pr="009E53D7">
              <w:rPr>
                <w:b/>
                <w:i/>
                <w:sz w:val="20"/>
                <w:szCs w:val="18"/>
              </w:rPr>
              <w:t xml:space="preserve"> Program   Components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2.4 Comprehensive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Pr="009E53D7">
              <w:rPr>
                <w:b/>
                <w:i/>
                <w:sz w:val="20"/>
                <w:szCs w:val="18"/>
              </w:rPr>
              <w:t xml:space="preserve"> Program Personnel and Results Evaluation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3.1 Interpersonal Skills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</w:tcPr>
          <w:p w:rsidR="00227CBF" w:rsidRPr="009E53D7" w:rsidRDefault="00227CBF" w:rsidP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Uses theories of career, counseling, and development to plan for classroom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Pr="009E53D7">
              <w:rPr>
                <w:b/>
                <w:i/>
                <w:sz w:val="20"/>
                <w:szCs w:val="18"/>
              </w:rPr>
              <w:t>, group and individual counseling</w:t>
            </w:r>
          </w:p>
          <w:p w:rsidR="00DD038F" w:rsidRPr="009E53D7" w:rsidRDefault="00DD038F" w:rsidP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Aligns activities to the district/building comprehensive </w:t>
            </w:r>
            <w:r w:rsidR="00CC50FC">
              <w:rPr>
                <w:b/>
                <w:i/>
                <w:sz w:val="20"/>
                <w:szCs w:val="18"/>
              </w:rPr>
              <w:t>school</w:t>
            </w:r>
            <w:r w:rsidRPr="009E53D7">
              <w:rPr>
                <w:b/>
                <w:i/>
                <w:sz w:val="20"/>
                <w:szCs w:val="18"/>
              </w:rPr>
              <w:t xml:space="preserve"> counseling program plan and the annual comprehensive </w:t>
            </w:r>
            <w:r w:rsidR="00CC50FC">
              <w:rPr>
                <w:b/>
                <w:i/>
                <w:sz w:val="20"/>
                <w:szCs w:val="18"/>
              </w:rPr>
              <w:t>school</w:t>
            </w:r>
            <w:r w:rsidRPr="009E53D7">
              <w:rPr>
                <w:b/>
                <w:i/>
                <w:sz w:val="20"/>
                <w:szCs w:val="18"/>
              </w:rPr>
              <w:t xml:space="preserve"> counseling program calendar</w:t>
            </w:r>
          </w:p>
          <w:p w:rsidR="00926501" w:rsidRPr="009E53D7" w:rsidRDefault="00926501" w:rsidP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Prepares an annual plan/calendar of </w:t>
            </w:r>
            <w:r w:rsidR="00CC50FC">
              <w:rPr>
                <w:b/>
                <w:i/>
                <w:sz w:val="20"/>
                <w:szCs w:val="18"/>
              </w:rPr>
              <w:t>school</w:t>
            </w:r>
            <w:r w:rsidRPr="009E53D7">
              <w:rPr>
                <w:b/>
                <w:i/>
                <w:sz w:val="20"/>
                <w:szCs w:val="18"/>
              </w:rPr>
              <w:t xml:space="preserve"> counseling activities</w:t>
            </w:r>
          </w:p>
          <w:p w:rsidR="007F2BB3" w:rsidRPr="009E53D7" w:rsidRDefault="007F2BB3" w:rsidP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Engages with mentor to implement personnel evaluation procedures for first year counselor</w:t>
            </w:r>
          </w:p>
          <w:p w:rsidR="00DD038F" w:rsidRPr="009E53D7" w:rsidRDefault="00DD038F" w:rsidP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Begins student/family/faculty communications</w:t>
            </w:r>
          </w:p>
          <w:p w:rsidR="00227CBF" w:rsidRPr="009E53D7" w:rsidRDefault="00227CBF" w:rsidP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Understands district policies and procedures</w:t>
            </w:r>
          </w:p>
          <w:p w:rsidR="00DD038F" w:rsidRPr="009E53D7" w:rsidRDefault="00DD038F" w:rsidP="00DD038F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  <w:shd w:val="clear" w:color="auto" w:fill="DDD9C3" w:themeFill="background2" w:themeFillShade="E6"/>
          </w:tcPr>
          <w:p w:rsidR="00075310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418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</w:tcPr>
          <w:p w:rsidR="007F2BB3" w:rsidRPr="009E53D7" w:rsidRDefault="007F2BB3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7F2BB3" w:rsidRPr="009E53D7" w:rsidRDefault="007F2BB3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7F2BB3" w:rsidRPr="009E53D7" w:rsidRDefault="007F2BB3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7F2BB3" w:rsidRPr="009E53D7" w:rsidRDefault="007F2BB3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7F2BB3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First</w:t>
            </w:r>
          </w:p>
          <w:p w:rsidR="00075310" w:rsidRPr="009E53D7" w:rsidRDefault="00227CBF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Quarter</w:t>
            </w:r>
          </w:p>
        </w:tc>
        <w:tc>
          <w:tcPr>
            <w:tcW w:w="3418" w:type="dxa"/>
          </w:tcPr>
          <w:p w:rsidR="00075310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1.3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Helping Relationships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2.3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Technology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4.4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Comprehensive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Program Leadership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5.1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Ethical Standards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5.2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Professional Standards</w:t>
            </w:r>
          </w:p>
          <w:p w:rsidR="00926501" w:rsidRPr="009E53D7" w:rsidRDefault="00926501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5.3 District and School Policies</w:t>
            </w:r>
          </w:p>
          <w:p w:rsidR="00227CBF" w:rsidRPr="009E53D7" w:rsidRDefault="00227CB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5.4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Legal Requirements</w:t>
            </w:r>
          </w:p>
        </w:tc>
        <w:tc>
          <w:tcPr>
            <w:tcW w:w="6062" w:type="dxa"/>
          </w:tcPr>
          <w:p w:rsidR="00075310" w:rsidRPr="009E53D7" w:rsidRDefault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Implements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Pr="009E53D7">
              <w:rPr>
                <w:b/>
                <w:i/>
                <w:sz w:val="20"/>
                <w:szCs w:val="18"/>
              </w:rPr>
              <w:t xml:space="preserve"> Curriculum in classrooms and small groups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Integrates technology into program activity and management</w:t>
            </w:r>
          </w:p>
          <w:p w:rsidR="00DD038F" w:rsidRPr="009E53D7" w:rsidRDefault="00DD038F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Communicates 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and implements </w:t>
            </w:r>
            <w:r w:rsidRPr="009E53D7">
              <w:rPr>
                <w:b/>
                <w:i/>
                <w:sz w:val="20"/>
                <w:szCs w:val="18"/>
              </w:rPr>
              <w:t>referral processes</w:t>
            </w:r>
            <w:r w:rsidR="007F2BB3" w:rsidRPr="009E53D7">
              <w:rPr>
                <w:b/>
                <w:i/>
                <w:sz w:val="20"/>
                <w:szCs w:val="18"/>
              </w:rPr>
              <w:t xml:space="preserve"> and program activities</w:t>
            </w:r>
          </w:p>
          <w:p w:rsidR="007F2BB3" w:rsidRPr="009E53D7" w:rsidRDefault="007F2BB3" w:rsidP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Implements Time/Task Analysis to assess program implementation (program evaluation data)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Attends to ethical, professional, </w:t>
            </w:r>
            <w:r w:rsidR="00926501" w:rsidRPr="009E53D7">
              <w:rPr>
                <w:b/>
                <w:i/>
                <w:sz w:val="20"/>
                <w:szCs w:val="18"/>
              </w:rPr>
              <w:t>district policy and l</w:t>
            </w:r>
            <w:r w:rsidRPr="009E53D7">
              <w:rPr>
                <w:b/>
                <w:i/>
                <w:sz w:val="20"/>
                <w:szCs w:val="18"/>
              </w:rPr>
              <w:t>egal obligations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Practices within scope of training consistent with district  CGCP plan</w:t>
            </w:r>
          </w:p>
          <w:p w:rsidR="0017785C" w:rsidRPr="009E53D7" w:rsidRDefault="0017785C" w:rsidP="0017785C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Implements Time/Task Analysis to assess program implementation</w:t>
            </w:r>
            <w:r w:rsidR="000B7646" w:rsidRPr="009E53D7">
              <w:rPr>
                <w:b/>
                <w:i/>
                <w:sz w:val="20"/>
                <w:szCs w:val="18"/>
              </w:rPr>
              <w:t xml:space="preserve"> (program evaluation data)</w:t>
            </w:r>
          </w:p>
        </w:tc>
      </w:tr>
      <w:tr w:rsidR="00DD038F" w:rsidRPr="009E53D7" w:rsidTr="009E53D7">
        <w:tc>
          <w:tcPr>
            <w:tcW w:w="0" w:type="auto"/>
            <w:shd w:val="clear" w:color="auto" w:fill="DDD9C3" w:themeFill="background2" w:themeFillShade="E6"/>
          </w:tcPr>
          <w:p w:rsidR="00075310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418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</w:tcPr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075310" w:rsidRPr="009E53D7" w:rsidRDefault="007F2BB3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Second Quarter</w:t>
            </w:r>
          </w:p>
        </w:tc>
        <w:tc>
          <w:tcPr>
            <w:tcW w:w="3418" w:type="dxa"/>
          </w:tcPr>
          <w:p w:rsidR="00075310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2.2 Comprehensive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Pr="009E53D7">
              <w:rPr>
                <w:b/>
                <w:i/>
                <w:sz w:val="20"/>
                <w:szCs w:val="18"/>
              </w:rPr>
              <w:t xml:space="preserve"> Program   Components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2.4 Comprehensive </w:t>
            </w:r>
            <w:r w:rsidR="00CC50FC">
              <w:rPr>
                <w:b/>
                <w:i/>
                <w:sz w:val="20"/>
                <w:szCs w:val="18"/>
              </w:rPr>
              <w:t>Counseling</w:t>
            </w:r>
            <w:r w:rsidRPr="009E53D7">
              <w:rPr>
                <w:b/>
                <w:i/>
                <w:sz w:val="20"/>
                <w:szCs w:val="18"/>
              </w:rPr>
              <w:t xml:space="preserve"> Program Personnel and Results Evaluation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3.4</w:t>
            </w:r>
            <w:r w:rsidR="001F72A8" w:rsidRPr="009E53D7">
              <w:rPr>
                <w:b/>
                <w:i/>
                <w:sz w:val="20"/>
                <w:szCs w:val="18"/>
              </w:rPr>
              <w:t xml:space="preserve"> School Community Involvement</w:t>
            </w:r>
          </w:p>
          <w:p w:rsidR="007F2BB3" w:rsidRPr="009E53D7" w:rsidRDefault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4.3</w:t>
            </w:r>
            <w:r w:rsidR="001F72A8" w:rsidRPr="009E53D7">
              <w:rPr>
                <w:b/>
                <w:i/>
                <w:sz w:val="20"/>
                <w:szCs w:val="18"/>
              </w:rPr>
              <w:t xml:space="preserve"> Student Advocacy</w:t>
            </w:r>
          </w:p>
        </w:tc>
        <w:tc>
          <w:tcPr>
            <w:tcW w:w="6062" w:type="dxa"/>
          </w:tcPr>
          <w:p w:rsidR="007F2BB3" w:rsidRPr="009E53D7" w:rsidRDefault="007F2BB3" w:rsidP="007F2BB3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Manages program activities effectively across all 4 program components</w:t>
            </w:r>
          </w:p>
          <w:p w:rsidR="0017785C" w:rsidRPr="009E53D7" w:rsidRDefault="0017785C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Initiates or reviews the district/building comprehensive </w:t>
            </w:r>
            <w:r w:rsidR="00CC50FC">
              <w:rPr>
                <w:b/>
                <w:i/>
                <w:sz w:val="20"/>
                <w:szCs w:val="18"/>
              </w:rPr>
              <w:t>school</w:t>
            </w:r>
            <w:r w:rsidRPr="009E53D7">
              <w:rPr>
                <w:b/>
                <w:i/>
                <w:sz w:val="20"/>
                <w:szCs w:val="18"/>
              </w:rPr>
              <w:t xml:space="preserve"> counseling program’s Internal Improvement Review (IIR)</w:t>
            </w:r>
          </w:p>
          <w:p w:rsidR="001F72A8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Organizes strategies to collect student outcomes (results data)</w:t>
            </w:r>
          </w:p>
          <w:p w:rsidR="00874BCB" w:rsidRPr="009E53D7" w:rsidRDefault="00874BCB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Engages in school and community activities </w:t>
            </w:r>
          </w:p>
          <w:p w:rsidR="00874BCB" w:rsidRPr="009E53D7" w:rsidRDefault="00874BCB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Assesses culture, climate, data to inform student needs</w:t>
            </w:r>
          </w:p>
          <w:p w:rsidR="0017785C" w:rsidRPr="009E53D7" w:rsidRDefault="00874BCB" w:rsidP="000B7646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Engages with students/families/staff/mentor</w:t>
            </w:r>
          </w:p>
        </w:tc>
      </w:tr>
      <w:tr w:rsidR="00DD038F" w:rsidRPr="009E53D7" w:rsidTr="009E53D7">
        <w:tc>
          <w:tcPr>
            <w:tcW w:w="0" w:type="auto"/>
            <w:shd w:val="clear" w:color="auto" w:fill="DDD9C3" w:themeFill="background2" w:themeFillShade="E6"/>
          </w:tcPr>
          <w:p w:rsidR="00075310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418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</w:tcPr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075310" w:rsidRPr="009E53D7" w:rsidRDefault="001F72A8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Mid-year</w:t>
            </w:r>
          </w:p>
        </w:tc>
        <w:tc>
          <w:tcPr>
            <w:tcW w:w="3418" w:type="dxa"/>
          </w:tcPr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Reflects on standards and feedback throughout Semester 1</w:t>
            </w:r>
          </w:p>
          <w:p w:rsidR="00075310" w:rsidRPr="009E53D7" w:rsidRDefault="00075310" w:rsidP="001F72A8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</w:tcPr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Adjusts practices based on data and feedback gathered from 1</w:t>
            </w:r>
            <w:r w:rsidRPr="009E53D7">
              <w:rPr>
                <w:b/>
                <w:i/>
                <w:sz w:val="20"/>
                <w:szCs w:val="18"/>
                <w:vertAlign w:val="superscript"/>
              </w:rPr>
              <w:t>st</w:t>
            </w:r>
            <w:r w:rsidRPr="009E53D7">
              <w:rPr>
                <w:b/>
                <w:i/>
                <w:sz w:val="20"/>
                <w:szCs w:val="18"/>
              </w:rPr>
              <w:t xml:space="preserve"> semester</w:t>
            </w:r>
          </w:p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Plans to maintain learning/improvement </w:t>
            </w:r>
          </w:p>
          <w:p w:rsidR="000B7646" w:rsidRPr="009E53D7" w:rsidRDefault="001F72A8" w:rsidP="00747B56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Plans for standards/feedback</w:t>
            </w:r>
            <w:r w:rsidR="00747B56" w:rsidRPr="009E53D7">
              <w:rPr>
                <w:b/>
                <w:i/>
                <w:sz w:val="20"/>
                <w:szCs w:val="18"/>
              </w:rPr>
              <w:t xml:space="preserve"> strategies</w:t>
            </w:r>
            <w:r w:rsidRPr="009E53D7">
              <w:rPr>
                <w:b/>
                <w:i/>
                <w:sz w:val="20"/>
                <w:szCs w:val="18"/>
              </w:rPr>
              <w:t xml:space="preserve"> for </w:t>
            </w:r>
            <w:r w:rsidR="00747B56" w:rsidRPr="009E53D7">
              <w:rPr>
                <w:b/>
                <w:i/>
                <w:sz w:val="20"/>
                <w:szCs w:val="18"/>
              </w:rPr>
              <w:t>Semester 2</w:t>
            </w:r>
          </w:p>
        </w:tc>
      </w:tr>
      <w:tr w:rsidR="00DD038F" w:rsidRPr="009E53D7" w:rsidTr="009E53D7">
        <w:tc>
          <w:tcPr>
            <w:tcW w:w="0" w:type="auto"/>
            <w:shd w:val="clear" w:color="auto" w:fill="DDD9C3" w:themeFill="background2" w:themeFillShade="E6"/>
          </w:tcPr>
          <w:p w:rsidR="00075310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418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</w:tcPr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075310" w:rsidRPr="009E53D7" w:rsidRDefault="001F72A8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Third Quarter</w:t>
            </w:r>
          </w:p>
        </w:tc>
        <w:tc>
          <w:tcPr>
            <w:tcW w:w="3418" w:type="dxa"/>
          </w:tcPr>
          <w:p w:rsidR="00075310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1.5 Appraisal of Student Growth and Achievement</w:t>
            </w:r>
          </w:p>
          <w:p w:rsidR="001F72A8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3.2 Collaboration</w:t>
            </w:r>
          </w:p>
          <w:p w:rsidR="001F72A8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3.3 Consultation</w:t>
            </w:r>
          </w:p>
          <w:p w:rsidR="001F72A8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4.1 Personal Well-Being</w:t>
            </w:r>
          </w:p>
          <w:p w:rsidR="001F72A8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4.2 Leadership and Professionalism</w:t>
            </w:r>
          </w:p>
          <w:p w:rsidR="001F72A8" w:rsidRPr="009E53D7" w:rsidRDefault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4.5 School Climate and Culture</w:t>
            </w:r>
          </w:p>
        </w:tc>
        <w:tc>
          <w:tcPr>
            <w:tcW w:w="6062" w:type="dxa"/>
          </w:tcPr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 xml:space="preserve">Articulates role in assessment and appraisal within the  comprehensive </w:t>
            </w:r>
            <w:r w:rsidR="00CC50FC">
              <w:rPr>
                <w:b/>
                <w:i/>
                <w:sz w:val="20"/>
                <w:szCs w:val="18"/>
              </w:rPr>
              <w:t>school</w:t>
            </w:r>
            <w:r w:rsidRPr="009E53D7">
              <w:rPr>
                <w:b/>
                <w:i/>
                <w:sz w:val="20"/>
                <w:szCs w:val="18"/>
              </w:rPr>
              <w:t xml:space="preserve"> counseling program</w:t>
            </w:r>
          </w:p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Implements assessment to plan and monitor outcomes of interventions</w:t>
            </w:r>
          </w:p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Collaborates/Consults with others on data/events to address student needs</w:t>
            </w:r>
          </w:p>
          <w:p w:rsidR="001F72A8" w:rsidRPr="009E53D7" w:rsidRDefault="001F72A8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Reflects on self-care and makes necessary adjustments for well-being</w:t>
            </w:r>
          </w:p>
          <w:p w:rsidR="00075310" w:rsidRPr="009E53D7" w:rsidRDefault="00D55AB5" w:rsidP="001F72A8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Assesses culture, climate data to inform student success needs</w:t>
            </w:r>
          </w:p>
        </w:tc>
      </w:tr>
      <w:tr w:rsidR="00DD038F" w:rsidRPr="009E53D7" w:rsidTr="009E53D7">
        <w:tc>
          <w:tcPr>
            <w:tcW w:w="0" w:type="auto"/>
            <w:shd w:val="clear" w:color="auto" w:fill="DDD9C3" w:themeFill="background2" w:themeFillShade="E6"/>
          </w:tcPr>
          <w:p w:rsidR="00075310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418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</w:tcPr>
          <w:p w:rsidR="00D55AB5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</w:p>
          <w:p w:rsidR="00075310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 xml:space="preserve">Fourth </w:t>
            </w:r>
            <w:r w:rsidR="00075310" w:rsidRPr="009E53D7">
              <w:rPr>
                <w:b/>
                <w:sz w:val="20"/>
                <w:szCs w:val="18"/>
              </w:rPr>
              <w:t xml:space="preserve"> Quarter</w:t>
            </w:r>
          </w:p>
        </w:tc>
        <w:tc>
          <w:tcPr>
            <w:tcW w:w="3418" w:type="dxa"/>
          </w:tcPr>
          <w:p w:rsidR="00075310" w:rsidRPr="009E53D7" w:rsidRDefault="00D55AB5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1.3 Helping Relationships</w:t>
            </w:r>
          </w:p>
          <w:p w:rsidR="00D55AB5" w:rsidRPr="009E53D7" w:rsidRDefault="00D55AB5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2.1 Structural Components</w:t>
            </w:r>
          </w:p>
          <w:p w:rsidR="00D55AB5" w:rsidRPr="009E53D7" w:rsidRDefault="00D55AB5" w:rsidP="00D55AB5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</w:tcPr>
          <w:p w:rsidR="0017785C" w:rsidRPr="009E53D7" w:rsidRDefault="0017785C" w:rsidP="0017785C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Collects survey data to assess counselor helping skills</w:t>
            </w:r>
            <w:r w:rsidR="000B7646" w:rsidRPr="009E53D7">
              <w:rPr>
                <w:b/>
                <w:i/>
                <w:sz w:val="20"/>
                <w:szCs w:val="18"/>
              </w:rPr>
              <w:t xml:space="preserve"> (personnel data)</w:t>
            </w:r>
          </w:p>
          <w:p w:rsidR="000B7646" w:rsidRPr="009E53D7" w:rsidRDefault="00D55AB5" w:rsidP="0017785C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Reflects on impact of program resources (facilities, materials, policies, work groups, advisory council, etc.—see MCGCP Manual for full resource reflection)</w:t>
            </w:r>
          </w:p>
        </w:tc>
      </w:tr>
      <w:tr w:rsidR="00DD038F" w:rsidRPr="009E53D7" w:rsidTr="009E53D7">
        <w:tc>
          <w:tcPr>
            <w:tcW w:w="0" w:type="auto"/>
            <w:shd w:val="clear" w:color="auto" w:fill="DDD9C3" w:themeFill="background2" w:themeFillShade="E6"/>
          </w:tcPr>
          <w:p w:rsidR="00075310" w:rsidRPr="009E53D7" w:rsidRDefault="00075310" w:rsidP="00C2737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418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  <w:shd w:val="clear" w:color="auto" w:fill="DDD9C3" w:themeFill="background2" w:themeFillShade="E6"/>
          </w:tcPr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</w:tr>
      <w:tr w:rsidR="00DD038F" w:rsidRPr="009E53D7" w:rsidTr="009E53D7">
        <w:tc>
          <w:tcPr>
            <w:tcW w:w="0" w:type="auto"/>
          </w:tcPr>
          <w:p w:rsidR="00075310" w:rsidRPr="009E53D7" w:rsidRDefault="00D55AB5" w:rsidP="00C27379">
            <w:pPr>
              <w:jc w:val="center"/>
              <w:rPr>
                <w:b/>
                <w:sz w:val="20"/>
                <w:szCs w:val="18"/>
              </w:rPr>
            </w:pPr>
            <w:r w:rsidRPr="009E53D7">
              <w:rPr>
                <w:b/>
                <w:sz w:val="20"/>
                <w:szCs w:val="18"/>
              </w:rPr>
              <w:t>End of Year</w:t>
            </w:r>
          </w:p>
        </w:tc>
        <w:tc>
          <w:tcPr>
            <w:tcW w:w="3418" w:type="dxa"/>
          </w:tcPr>
          <w:p w:rsidR="00747B56" w:rsidRPr="009E53D7" w:rsidRDefault="00747B56" w:rsidP="00747B56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Reflects on standards and feedback throughout year</w:t>
            </w:r>
          </w:p>
          <w:p w:rsidR="00075310" w:rsidRPr="009E53D7" w:rsidRDefault="00075310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6062" w:type="dxa"/>
          </w:tcPr>
          <w:p w:rsidR="00075310" w:rsidRPr="009E53D7" w:rsidRDefault="000B7646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Reflect on impact on student learning</w:t>
            </w:r>
          </w:p>
          <w:p w:rsidR="00C27379" w:rsidRPr="009E53D7" w:rsidRDefault="000B7646">
            <w:pPr>
              <w:rPr>
                <w:b/>
                <w:i/>
                <w:sz w:val="20"/>
                <w:szCs w:val="18"/>
              </w:rPr>
            </w:pPr>
            <w:r w:rsidRPr="009E53D7">
              <w:rPr>
                <w:b/>
                <w:i/>
                <w:sz w:val="20"/>
                <w:szCs w:val="18"/>
              </w:rPr>
              <w:t>Plan for professional development/improvement</w:t>
            </w:r>
          </w:p>
        </w:tc>
      </w:tr>
    </w:tbl>
    <w:p w:rsidR="006270CB" w:rsidRPr="009E53D7" w:rsidRDefault="006270CB">
      <w:pPr>
        <w:rPr>
          <w:b/>
          <w:sz w:val="20"/>
          <w:szCs w:val="18"/>
        </w:rPr>
      </w:pPr>
    </w:p>
    <w:sectPr w:rsidR="006270CB" w:rsidRPr="009E53D7" w:rsidSect="009E53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10"/>
    <w:rsid w:val="00075310"/>
    <w:rsid w:val="000B7646"/>
    <w:rsid w:val="0017785C"/>
    <w:rsid w:val="001F72A8"/>
    <w:rsid w:val="00227CBF"/>
    <w:rsid w:val="003449EC"/>
    <w:rsid w:val="00466FE3"/>
    <w:rsid w:val="004940DB"/>
    <w:rsid w:val="006270CB"/>
    <w:rsid w:val="00747B56"/>
    <w:rsid w:val="007F2BB3"/>
    <w:rsid w:val="00874BCB"/>
    <w:rsid w:val="00926501"/>
    <w:rsid w:val="009E53D7"/>
    <w:rsid w:val="00B4471D"/>
    <w:rsid w:val="00B61302"/>
    <w:rsid w:val="00C27379"/>
    <w:rsid w:val="00CC50FC"/>
    <w:rsid w:val="00D55AB5"/>
    <w:rsid w:val="00D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449E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  <w:style w:type="table" w:styleId="TableGrid">
    <w:name w:val="Table Grid"/>
    <w:basedOn w:val="TableNormal"/>
    <w:uiPriority w:val="59"/>
    <w:rsid w:val="0007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449E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  <w:style w:type="table" w:styleId="TableGrid">
    <w:name w:val="Table Grid"/>
    <w:basedOn w:val="TableNormal"/>
    <w:uiPriority w:val="59"/>
    <w:rsid w:val="0007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Hiatt,Rochelle</dc:creator>
  <cp:lastModifiedBy>Coffman, Christopher</cp:lastModifiedBy>
  <cp:revision>2</cp:revision>
  <cp:lastPrinted>2015-01-19T18:07:00Z</cp:lastPrinted>
  <dcterms:created xsi:type="dcterms:W3CDTF">2016-06-29T21:24:00Z</dcterms:created>
  <dcterms:modified xsi:type="dcterms:W3CDTF">2016-06-29T21:24:00Z</dcterms:modified>
</cp:coreProperties>
</file>